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4B4CD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14:paraId="431EE6EF">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DF44983">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03.080</w:t>
            </w:r>
            <w:r>
              <w:rPr>
                <w:rFonts w:ascii="黑体" w:hAnsi="黑体" w:eastAsia="黑体"/>
                <w:sz w:val="21"/>
                <w:szCs w:val="21"/>
              </w:rPr>
              <w:fldChar w:fldCharType="end"/>
            </w:r>
            <w:bookmarkEnd w:id="0"/>
          </w:p>
        </w:tc>
      </w:tr>
      <w:tr w14:paraId="0673F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14:paraId="1FE20EFF">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65FC9508">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A 00</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5467B54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23E035EF">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37</w:t>
            </w:r>
            <w:r>
              <w:fldChar w:fldCharType="end"/>
            </w:r>
            <w:bookmarkEnd w:id="3"/>
          </w:p>
        </w:tc>
      </w:tr>
    </w:tbl>
    <w:p w14:paraId="599CDA9E">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山东省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0414A6D0">
      <w:pPr>
        <w:pStyle w:val="195"/>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fr-FR"/>
        </w:rPr>
        <w:t>37</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lang w:val="fr-FR" w:eastAsia="zh-CN"/>
        </w:rPr>
        <w:t>4</w:t>
      </w:r>
      <w:r>
        <w:rPr>
          <w:rFonts w:hint="eastAsia"/>
          <w:lang w:val="en-US" w:eastAsia="zh-CN"/>
        </w:rPr>
        <w:t>467</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lang w:val="fr-FR" w:eastAsia="zh-CN"/>
        </w:rPr>
        <w:t>2</w:t>
      </w:r>
      <w:r>
        <w:rPr>
          <w:rFonts w:hint="eastAsia"/>
          <w:lang w:val="en-US" w:eastAsia="zh-CN"/>
        </w:rPr>
        <w:t>021</w:t>
      </w:r>
      <w:r>
        <w:fldChar w:fldCharType="end"/>
      </w:r>
      <w:bookmarkEnd w:id="7"/>
    </w:p>
    <w:p w14:paraId="650BC753">
      <w:pPr>
        <w:pStyle w:val="196"/>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5511ADB8">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14724424">
      <w:pPr>
        <w:pStyle w:val="50"/>
        <w:framePr w:w="9639" w:h="6976" w:hRule="exact" w:hSpace="0" w:vSpace="0" w:wrap="around" w:hAnchor="page" w:y="6408"/>
        <w:jc w:val="center"/>
        <w:rPr>
          <w:rFonts w:ascii="黑体" w:hAnsi="黑体" w:eastAsia="黑体"/>
          <w:b w:val="0"/>
          <w:bCs w:val="0"/>
          <w:w w:val="100"/>
        </w:rPr>
      </w:pPr>
    </w:p>
    <w:p w14:paraId="008BB856">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军队离休退休干部服务管理规范</w:t>
      </w:r>
      <w:r>
        <w:fldChar w:fldCharType="end"/>
      </w:r>
      <w:bookmarkEnd w:id="9"/>
    </w:p>
    <w:p w14:paraId="029151FF">
      <w:pPr>
        <w:framePr w:w="9639" w:h="6974" w:hRule="exact" w:wrap="around" w:vAnchor="page" w:hAnchor="page" w:x="1419" w:y="6408" w:anchorLock="1"/>
        <w:ind w:left="-1418"/>
      </w:pPr>
    </w:p>
    <w:p w14:paraId="0EE524B8">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Service management criterion for retired military cadres</w:t>
      </w:r>
      <w:r>
        <w:rPr>
          <w:rFonts w:eastAsia="黑体"/>
          <w:szCs w:val="28"/>
        </w:rPr>
        <w:fldChar w:fldCharType="end"/>
      </w:r>
      <w:bookmarkEnd w:id="10"/>
    </w:p>
    <w:p w14:paraId="5AC8FD50">
      <w:pPr>
        <w:framePr w:w="9639" w:h="6974" w:hRule="exact" w:wrap="around" w:vAnchor="page" w:hAnchor="page" w:x="1419" w:y="6408" w:anchorLock="1"/>
        <w:spacing w:line="760" w:lineRule="exact"/>
        <w:ind w:left="-1418"/>
      </w:pPr>
    </w:p>
    <w:p w14:paraId="42DC85E7">
      <w:pPr>
        <w:pStyle w:val="125"/>
        <w:framePr w:w="9639" w:h="6974" w:hRule="exact" w:wrap="around" w:vAnchor="page" w:hAnchor="page" w:x="1419" w:y="6408" w:anchorLock="1"/>
        <w:textAlignment w:val="bottom"/>
        <w:rPr>
          <w:rFonts w:eastAsia="黑体"/>
          <w:szCs w:val="28"/>
        </w:rPr>
      </w:pPr>
    </w:p>
    <w:p w14:paraId="4346A25D">
      <w:pPr>
        <w:pStyle w:val="125"/>
        <w:framePr w:w="9639" w:h="6974" w:hRule="exact" w:wrap="around" w:vAnchor="page" w:hAnchor="page" w:x="1419" w:y="6408" w:anchorLock="1"/>
        <w:spacing w:before="440" w:after="160"/>
        <w:textAlignment w:val="bottom"/>
        <w:rPr>
          <w:sz w:val="24"/>
          <w:szCs w:val="28"/>
        </w:rPr>
      </w:pPr>
    </w:p>
    <w:p w14:paraId="19E94C58">
      <w:pPr>
        <w:pStyle w:val="125"/>
        <w:framePr w:w="9639" w:h="6974" w:hRule="exact" w:wrap="around" w:vAnchor="page" w:hAnchor="page" w:x="1419" w:y="6408" w:anchorLock="1"/>
        <w:spacing w:before="180" w:line="240" w:lineRule="atLeast"/>
        <w:textAlignment w:val="bottom"/>
        <w:rPr>
          <w:sz w:val="21"/>
          <w:szCs w:val="28"/>
        </w:rPr>
      </w:pPr>
    </w:p>
    <w:p w14:paraId="02654040">
      <w:pPr>
        <w:pStyle w:val="125"/>
        <w:framePr w:w="9639" w:h="6974" w:hRule="exact" w:wrap="around" w:vAnchor="page" w:hAnchor="page" w:x="1419" w:y="6408" w:anchorLock="1"/>
        <w:spacing w:before="720" w:beforeLines="300" w:after="72" w:afterLines="30" w:line="240" w:lineRule="auto"/>
        <w:textAlignment w:val="bottom"/>
        <w:rPr>
          <w:b/>
          <w:sz w:val="21"/>
          <w:szCs w:val="28"/>
        </w:rPr>
      </w:pPr>
    </w:p>
    <w:p w14:paraId="7B7C5C92">
      <w:pPr>
        <w:pStyle w:val="193"/>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021</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lang w:eastAsia="zh-CN"/>
        </w:rPr>
        <w:t>1</w:t>
      </w:r>
      <w:r>
        <w:rPr>
          <w:rFonts w:hint="eastAsia" w:ascii="黑体"/>
          <w:lang w:val="en-US" w:eastAsia="zh-CN"/>
        </w:rPr>
        <w:t>2</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9</w:t>
      </w:r>
      <w:r>
        <w:rPr>
          <w:rFonts w:ascii="黑体"/>
        </w:rPr>
        <w:fldChar w:fldCharType="end"/>
      </w:r>
      <w:bookmarkEnd w:id="13"/>
      <w:r>
        <w:rPr>
          <w:rFonts w:hint="eastAsia"/>
        </w:rPr>
        <w:t>发布</w:t>
      </w:r>
    </w:p>
    <w:p w14:paraId="575C8FA7">
      <w:pPr>
        <w:pStyle w:val="194"/>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022</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lang w:eastAsia="zh-CN"/>
        </w:rPr>
        <w:t>0</w:t>
      </w:r>
      <w:r>
        <w:rPr>
          <w:rFonts w:hint="eastAsia" w:ascii="黑体"/>
          <w:lang w:val="en-US" w:eastAsia="zh-CN"/>
        </w:rPr>
        <w:t>1</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9</w:t>
      </w:r>
      <w:r>
        <w:rPr>
          <w:rFonts w:ascii="黑体"/>
        </w:rPr>
        <w:fldChar w:fldCharType="end"/>
      </w:r>
      <w:bookmarkEnd w:id="16"/>
      <w:r>
        <w:rPr>
          <w:rFonts w:hint="eastAsia"/>
        </w:rPr>
        <w:t>实施</w:t>
      </w:r>
    </w:p>
    <w:p w14:paraId="0567BE3F">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山东省</w:t>
      </w:r>
      <w:r>
        <w:rPr>
          <w:rFonts w:hAnsi="黑体"/>
          <w:w w:val="100"/>
          <w:sz w:val="28"/>
        </w:rPr>
        <w:t>市场监督管理局</w:t>
      </w:r>
      <w:r>
        <w:rPr>
          <w:rFonts w:hAnsi="黑体"/>
          <w:w w:val="100"/>
          <w:sz w:val="28"/>
        </w:rPr>
        <w:fldChar w:fldCharType="end"/>
      </w:r>
      <w:bookmarkEnd w:id="17"/>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73A0A009">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32493DB2">
      <w:pPr>
        <w:pStyle w:val="91"/>
        <w:spacing w:after="468"/>
      </w:pPr>
      <w:bookmarkStart w:id="18" w:name="BookMark1"/>
      <w:bookmarkStart w:id="19" w:name="_Toc89940213"/>
      <w:bookmarkStart w:id="20" w:name="_Toc89938051"/>
      <w:r>
        <w:rPr>
          <w:rFonts w:hint="eastAsia"/>
          <w:spacing w:val="320"/>
        </w:rPr>
        <w:t>目</w:t>
      </w:r>
      <w:r>
        <w:rPr>
          <w:rFonts w:hint="eastAsia"/>
        </w:rPr>
        <w:t>次</w:t>
      </w:r>
    </w:p>
    <w:p w14:paraId="6D6E8D67">
      <w:pPr>
        <w:pStyle w:val="19"/>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"_Toc89957565" </w:instrText>
      </w:r>
      <w:r>
        <w:fldChar w:fldCharType="separate"/>
      </w:r>
      <w:r>
        <w:rPr>
          <w:rStyle w:val="32"/>
          <w:rFonts w:hint="eastAsia"/>
        </w:rPr>
        <w:t>前言</w:t>
      </w:r>
      <w:r>
        <w:tab/>
      </w:r>
      <w:r>
        <w:fldChar w:fldCharType="begin"/>
      </w:r>
      <w:r>
        <w:instrText xml:space="preserve"> PAGEREF _Toc89957565 \h </w:instrText>
      </w:r>
      <w:r>
        <w:fldChar w:fldCharType="separate"/>
      </w:r>
      <w:r>
        <w:t>II</w:t>
      </w:r>
      <w:r>
        <w:fldChar w:fldCharType="end"/>
      </w:r>
      <w:r>
        <w:fldChar w:fldCharType="end"/>
      </w:r>
    </w:p>
    <w:p w14:paraId="430B0F09">
      <w:pPr>
        <w:pStyle w:val="19"/>
        <w:tabs>
          <w:tab w:val="right" w:leader="dot" w:pos="9344"/>
        </w:tabs>
        <w:rPr>
          <w:rFonts w:asciiTheme="minorHAnsi" w:hAnsiTheme="minorHAnsi" w:eastAsiaTheme="minorEastAsia" w:cstheme="minorBidi"/>
          <w:szCs w:val="22"/>
        </w:rPr>
      </w:pPr>
      <w:r>
        <w:fldChar w:fldCharType="begin"/>
      </w:r>
      <w:r>
        <w:instrText xml:space="preserve"> HYPERLINK \l "_Toc89957566" </w:instrText>
      </w:r>
      <w:r>
        <w:fldChar w:fldCharType="separate"/>
      </w:r>
      <w:r>
        <w:rPr>
          <w:rStyle w:val="32"/>
        </w:rPr>
        <w:t xml:space="preserve">1 </w:t>
      </w:r>
      <w:r>
        <w:rPr>
          <w:rStyle w:val="32"/>
          <w:rFonts w:hint="eastAsia"/>
        </w:rPr>
        <w:t xml:space="preserve"> 范围</w:t>
      </w:r>
      <w:r>
        <w:tab/>
      </w:r>
      <w:r>
        <w:fldChar w:fldCharType="begin"/>
      </w:r>
      <w:r>
        <w:instrText xml:space="preserve"> PAGEREF _Toc89957566 \h </w:instrText>
      </w:r>
      <w:r>
        <w:fldChar w:fldCharType="separate"/>
      </w:r>
      <w:r>
        <w:t>1</w:t>
      </w:r>
      <w:r>
        <w:fldChar w:fldCharType="end"/>
      </w:r>
      <w:r>
        <w:fldChar w:fldCharType="end"/>
      </w:r>
    </w:p>
    <w:p w14:paraId="5B0EF73B">
      <w:pPr>
        <w:pStyle w:val="19"/>
        <w:tabs>
          <w:tab w:val="right" w:leader="dot" w:pos="9344"/>
        </w:tabs>
        <w:rPr>
          <w:rFonts w:asciiTheme="minorHAnsi" w:hAnsiTheme="minorHAnsi" w:eastAsiaTheme="minorEastAsia" w:cstheme="minorBidi"/>
          <w:szCs w:val="22"/>
        </w:rPr>
      </w:pPr>
      <w:r>
        <w:fldChar w:fldCharType="begin"/>
      </w:r>
      <w:r>
        <w:instrText xml:space="preserve"> HYPERLINK \l "_Toc89957567" </w:instrText>
      </w:r>
      <w:r>
        <w:fldChar w:fldCharType="separate"/>
      </w:r>
      <w:r>
        <w:rPr>
          <w:rStyle w:val="32"/>
        </w:rPr>
        <w:t xml:space="preserve">2 </w:t>
      </w:r>
      <w:r>
        <w:rPr>
          <w:rStyle w:val="32"/>
          <w:rFonts w:hint="eastAsia"/>
        </w:rPr>
        <w:t xml:space="preserve"> 规范性引用文件</w:t>
      </w:r>
      <w:r>
        <w:tab/>
      </w:r>
      <w:r>
        <w:fldChar w:fldCharType="begin"/>
      </w:r>
      <w:r>
        <w:instrText xml:space="preserve"> PAGEREF _Toc89957567 \h </w:instrText>
      </w:r>
      <w:r>
        <w:fldChar w:fldCharType="separate"/>
      </w:r>
      <w:r>
        <w:t>1</w:t>
      </w:r>
      <w:r>
        <w:fldChar w:fldCharType="end"/>
      </w:r>
      <w:r>
        <w:fldChar w:fldCharType="end"/>
      </w:r>
    </w:p>
    <w:p w14:paraId="38B4B6AA">
      <w:pPr>
        <w:pStyle w:val="19"/>
        <w:tabs>
          <w:tab w:val="right" w:leader="dot" w:pos="9344"/>
        </w:tabs>
        <w:rPr>
          <w:rFonts w:asciiTheme="minorHAnsi" w:hAnsiTheme="minorHAnsi" w:eastAsiaTheme="minorEastAsia" w:cstheme="minorBidi"/>
          <w:szCs w:val="22"/>
        </w:rPr>
      </w:pPr>
      <w:r>
        <w:fldChar w:fldCharType="begin"/>
      </w:r>
      <w:r>
        <w:instrText xml:space="preserve"> HYPERLINK \l "_Toc89957568" </w:instrText>
      </w:r>
      <w:r>
        <w:fldChar w:fldCharType="separate"/>
      </w:r>
      <w:r>
        <w:rPr>
          <w:rStyle w:val="32"/>
        </w:rPr>
        <w:t xml:space="preserve">3 </w:t>
      </w:r>
      <w:r>
        <w:rPr>
          <w:rStyle w:val="32"/>
          <w:rFonts w:hint="eastAsia"/>
        </w:rPr>
        <w:t xml:space="preserve"> 术语和定义</w:t>
      </w:r>
      <w:r>
        <w:tab/>
      </w:r>
      <w:r>
        <w:fldChar w:fldCharType="begin"/>
      </w:r>
      <w:r>
        <w:instrText xml:space="preserve"> PAGEREF _Toc89957568 \h </w:instrText>
      </w:r>
      <w:r>
        <w:fldChar w:fldCharType="separate"/>
      </w:r>
      <w:r>
        <w:t>1</w:t>
      </w:r>
      <w:r>
        <w:fldChar w:fldCharType="end"/>
      </w:r>
      <w:r>
        <w:fldChar w:fldCharType="end"/>
      </w:r>
    </w:p>
    <w:p w14:paraId="2252CF4B">
      <w:pPr>
        <w:pStyle w:val="19"/>
        <w:tabs>
          <w:tab w:val="right" w:leader="dot" w:pos="9344"/>
        </w:tabs>
        <w:rPr>
          <w:rFonts w:asciiTheme="minorHAnsi" w:hAnsiTheme="minorHAnsi" w:eastAsiaTheme="minorEastAsia" w:cstheme="minorBidi"/>
          <w:szCs w:val="22"/>
        </w:rPr>
      </w:pPr>
      <w:r>
        <w:fldChar w:fldCharType="begin"/>
      </w:r>
      <w:r>
        <w:instrText xml:space="preserve"> HYPERLINK \l "_Toc89957569" </w:instrText>
      </w:r>
      <w:r>
        <w:fldChar w:fldCharType="separate"/>
      </w:r>
      <w:r>
        <w:rPr>
          <w:rStyle w:val="32"/>
        </w:rPr>
        <w:t xml:space="preserve">4 </w:t>
      </w:r>
      <w:r>
        <w:rPr>
          <w:rStyle w:val="32"/>
          <w:rFonts w:hint="eastAsia"/>
        </w:rPr>
        <w:t xml:space="preserve"> 基本条件</w:t>
      </w:r>
      <w:r>
        <w:tab/>
      </w:r>
      <w:r>
        <w:fldChar w:fldCharType="begin"/>
      </w:r>
      <w:r>
        <w:instrText xml:space="preserve"> PAGEREF _Toc89957569 \h </w:instrText>
      </w:r>
      <w:r>
        <w:fldChar w:fldCharType="separate"/>
      </w:r>
      <w:r>
        <w:t>1</w:t>
      </w:r>
      <w:r>
        <w:fldChar w:fldCharType="end"/>
      </w:r>
      <w:r>
        <w:fldChar w:fldCharType="end"/>
      </w:r>
    </w:p>
    <w:p w14:paraId="6A649A69">
      <w:pPr>
        <w:pStyle w:val="24"/>
        <w:rPr>
          <w:rFonts w:asciiTheme="minorHAnsi" w:hAnsiTheme="minorHAnsi" w:eastAsiaTheme="minorEastAsia" w:cstheme="minorBidi"/>
          <w:szCs w:val="22"/>
        </w:rPr>
      </w:pPr>
      <w:r>
        <w:fldChar w:fldCharType="begin"/>
      </w:r>
      <w:r>
        <w:instrText xml:space="preserve"> HYPERLINK \l "_Toc89957570" </w:instrText>
      </w:r>
      <w:r>
        <w:fldChar w:fldCharType="separate"/>
      </w:r>
      <w:r>
        <w:rPr>
          <w:rStyle w:val="32"/>
          <w14:scene3d>
            <w14:lightRig w14:rig="threePt" w14:dir="t">
              <w14:rot w14:lat="0" w14:lon="0" w14:rev="0"/>
            </w14:lightRig>
          </w14:scene3d>
        </w:rPr>
        <w:t xml:space="preserve">4.1 </w:t>
      </w:r>
      <w:r>
        <w:rPr>
          <w:rStyle w:val="32"/>
          <w:rFonts w:hint="eastAsia"/>
        </w:rPr>
        <w:t xml:space="preserve"> 机构设置</w:t>
      </w:r>
      <w:r>
        <w:tab/>
      </w:r>
      <w:r>
        <w:fldChar w:fldCharType="begin"/>
      </w:r>
      <w:r>
        <w:instrText xml:space="preserve"> PAGEREF _Toc89957570 \h </w:instrText>
      </w:r>
      <w:r>
        <w:fldChar w:fldCharType="separate"/>
      </w:r>
      <w:r>
        <w:t>2</w:t>
      </w:r>
      <w:r>
        <w:fldChar w:fldCharType="end"/>
      </w:r>
      <w:r>
        <w:fldChar w:fldCharType="end"/>
      </w:r>
    </w:p>
    <w:p w14:paraId="3C9FE4C2">
      <w:pPr>
        <w:pStyle w:val="24"/>
        <w:rPr>
          <w:rFonts w:asciiTheme="minorHAnsi" w:hAnsiTheme="minorHAnsi" w:eastAsiaTheme="minorEastAsia" w:cstheme="minorBidi"/>
          <w:szCs w:val="22"/>
        </w:rPr>
      </w:pPr>
      <w:r>
        <w:fldChar w:fldCharType="begin"/>
      </w:r>
      <w:r>
        <w:instrText xml:space="preserve"> HYPERLINK \l "_Toc89957571" </w:instrText>
      </w:r>
      <w:r>
        <w:fldChar w:fldCharType="separate"/>
      </w:r>
      <w:r>
        <w:rPr>
          <w:rStyle w:val="32"/>
          <w14:scene3d>
            <w14:lightRig w14:rig="threePt" w14:dir="t">
              <w14:rot w14:lat="0" w14:lon="0" w14:rev="0"/>
            </w14:lightRig>
          </w14:scene3d>
        </w:rPr>
        <w:t xml:space="preserve">4.2 </w:t>
      </w:r>
      <w:r>
        <w:rPr>
          <w:rStyle w:val="32"/>
          <w:rFonts w:hint="eastAsia"/>
        </w:rPr>
        <w:t xml:space="preserve"> 场地要求</w:t>
      </w:r>
      <w:r>
        <w:tab/>
      </w:r>
      <w:r>
        <w:fldChar w:fldCharType="begin"/>
      </w:r>
      <w:r>
        <w:instrText xml:space="preserve"> PAGEREF _Toc89957571 \h </w:instrText>
      </w:r>
      <w:r>
        <w:fldChar w:fldCharType="separate"/>
      </w:r>
      <w:r>
        <w:t>2</w:t>
      </w:r>
      <w:r>
        <w:fldChar w:fldCharType="end"/>
      </w:r>
      <w:r>
        <w:fldChar w:fldCharType="end"/>
      </w:r>
    </w:p>
    <w:p w14:paraId="02A07F95">
      <w:pPr>
        <w:pStyle w:val="24"/>
        <w:rPr>
          <w:rFonts w:asciiTheme="minorHAnsi" w:hAnsiTheme="minorHAnsi" w:eastAsiaTheme="minorEastAsia" w:cstheme="minorBidi"/>
          <w:szCs w:val="22"/>
        </w:rPr>
      </w:pPr>
      <w:r>
        <w:fldChar w:fldCharType="begin"/>
      </w:r>
      <w:r>
        <w:instrText xml:space="preserve"> HYPERLINK \l "_Toc89957572" </w:instrText>
      </w:r>
      <w:r>
        <w:fldChar w:fldCharType="separate"/>
      </w:r>
      <w:r>
        <w:rPr>
          <w:rStyle w:val="32"/>
          <w14:scene3d>
            <w14:lightRig w14:rig="threePt" w14:dir="t">
              <w14:rot w14:lat="0" w14:lon="0" w14:rev="0"/>
            </w14:lightRig>
          </w14:scene3d>
        </w:rPr>
        <w:t xml:space="preserve">4.3 </w:t>
      </w:r>
      <w:r>
        <w:rPr>
          <w:rStyle w:val="32"/>
          <w:rFonts w:hint="eastAsia"/>
        </w:rPr>
        <w:t xml:space="preserve"> 设施设备</w:t>
      </w:r>
      <w:r>
        <w:tab/>
      </w:r>
      <w:r>
        <w:fldChar w:fldCharType="begin"/>
      </w:r>
      <w:r>
        <w:instrText xml:space="preserve"> PAGEREF _Toc89957572 \h </w:instrText>
      </w:r>
      <w:r>
        <w:fldChar w:fldCharType="separate"/>
      </w:r>
      <w:r>
        <w:t>3</w:t>
      </w:r>
      <w:r>
        <w:fldChar w:fldCharType="end"/>
      </w:r>
      <w:r>
        <w:fldChar w:fldCharType="end"/>
      </w:r>
    </w:p>
    <w:p w14:paraId="0048A271">
      <w:pPr>
        <w:pStyle w:val="24"/>
        <w:rPr>
          <w:rFonts w:asciiTheme="minorHAnsi" w:hAnsiTheme="minorHAnsi" w:eastAsiaTheme="minorEastAsia" w:cstheme="minorBidi"/>
          <w:szCs w:val="22"/>
        </w:rPr>
      </w:pPr>
      <w:r>
        <w:fldChar w:fldCharType="begin"/>
      </w:r>
      <w:r>
        <w:instrText xml:space="preserve"> HYPERLINK \l "_Toc89957573" </w:instrText>
      </w:r>
      <w:r>
        <w:fldChar w:fldCharType="separate"/>
      </w:r>
      <w:r>
        <w:rPr>
          <w:rStyle w:val="32"/>
          <w14:scene3d>
            <w14:lightRig w14:rig="threePt" w14:dir="t">
              <w14:rot w14:lat="0" w14:lon="0" w14:rev="0"/>
            </w14:lightRig>
          </w14:scene3d>
        </w:rPr>
        <w:t xml:space="preserve">4.4 </w:t>
      </w:r>
      <w:r>
        <w:rPr>
          <w:rStyle w:val="32"/>
          <w:rFonts w:hint="eastAsia"/>
        </w:rPr>
        <w:t xml:space="preserve"> 人员配置</w:t>
      </w:r>
      <w:r>
        <w:tab/>
      </w:r>
      <w:r>
        <w:fldChar w:fldCharType="begin"/>
      </w:r>
      <w:r>
        <w:instrText xml:space="preserve"> PAGEREF _Toc89957573 \h </w:instrText>
      </w:r>
      <w:r>
        <w:fldChar w:fldCharType="separate"/>
      </w:r>
      <w:r>
        <w:t>3</w:t>
      </w:r>
      <w:r>
        <w:fldChar w:fldCharType="end"/>
      </w:r>
      <w:r>
        <w:fldChar w:fldCharType="end"/>
      </w:r>
    </w:p>
    <w:p w14:paraId="30085207">
      <w:pPr>
        <w:pStyle w:val="19"/>
        <w:tabs>
          <w:tab w:val="right" w:leader="dot" w:pos="9344"/>
        </w:tabs>
        <w:rPr>
          <w:rFonts w:asciiTheme="minorHAnsi" w:hAnsiTheme="minorHAnsi" w:eastAsiaTheme="minorEastAsia" w:cstheme="minorBidi"/>
          <w:szCs w:val="22"/>
        </w:rPr>
      </w:pPr>
      <w:r>
        <w:fldChar w:fldCharType="begin"/>
      </w:r>
      <w:r>
        <w:instrText xml:space="preserve"> HYPERLINK \l "_Toc89957574" </w:instrText>
      </w:r>
      <w:r>
        <w:fldChar w:fldCharType="separate"/>
      </w:r>
      <w:r>
        <w:rPr>
          <w:rStyle w:val="32"/>
        </w:rPr>
        <w:t xml:space="preserve">5 </w:t>
      </w:r>
      <w:r>
        <w:rPr>
          <w:rStyle w:val="32"/>
          <w:rFonts w:hint="eastAsia"/>
        </w:rPr>
        <w:t xml:space="preserve"> 服务内容与要求</w:t>
      </w:r>
      <w:r>
        <w:tab/>
      </w:r>
      <w:r>
        <w:fldChar w:fldCharType="begin"/>
      </w:r>
      <w:r>
        <w:instrText xml:space="preserve"> PAGEREF _Toc89957574 \h </w:instrText>
      </w:r>
      <w:r>
        <w:fldChar w:fldCharType="separate"/>
      </w:r>
      <w:r>
        <w:t>3</w:t>
      </w:r>
      <w:r>
        <w:fldChar w:fldCharType="end"/>
      </w:r>
      <w:r>
        <w:fldChar w:fldCharType="end"/>
      </w:r>
    </w:p>
    <w:p w14:paraId="4807FA6D">
      <w:pPr>
        <w:pStyle w:val="24"/>
        <w:rPr>
          <w:rFonts w:asciiTheme="minorHAnsi" w:hAnsiTheme="minorHAnsi" w:eastAsiaTheme="minorEastAsia" w:cstheme="minorBidi"/>
          <w:szCs w:val="22"/>
        </w:rPr>
      </w:pPr>
      <w:r>
        <w:fldChar w:fldCharType="begin"/>
      </w:r>
      <w:r>
        <w:instrText xml:space="preserve"> HYPERLINK \l "_Toc89957575" </w:instrText>
      </w:r>
      <w:r>
        <w:fldChar w:fldCharType="separate"/>
      </w:r>
      <w:r>
        <w:rPr>
          <w:rStyle w:val="32"/>
          <w14:scene3d>
            <w14:lightRig w14:rig="threePt" w14:dir="t">
              <w14:rot w14:lat="0" w14:lon="0" w14:rev="0"/>
            </w14:lightRig>
          </w14:scene3d>
        </w:rPr>
        <w:t xml:space="preserve">5.1 </w:t>
      </w:r>
      <w:r>
        <w:rPr>
          <w:rStyle w:val="32"/>
          <w:rFonts w:hint="eastAsia"/>
        </w:rPr>
        <w:t xml:space="preserve"> 服务通则</w:t>
      </w:r>
      <w:r>
        <w:tab/>
      </w:r>
      <w:r>
        <w:fldChar w:fldCharType="begin"/>
      </w:r>
      <w:r>
        <w:instrText xml:space="preserve"> PAGEREF _Toc89957575 \h </w:instrText>
      </w:r>
      <w:r>
        <w:fldChar w:fldCharType="separate"/>
      </w:r>
      <w:r>
        <w:t>3</w:t>
      </w:r>
      <w:r>
        <w:fldChar w:fldCharType="end"/>
      </w:r>
      <w:r>
        <w:fldChar w:fldCharType="end"/>
      </w:r>
    </w:p>
    <w:p w14:paraId="16C849F8">
      <w:pPr>
        <w:pStyle w:val="24"/>
        <w:rPr>
          <w:rFonts w:asciiTheme="minorHAnsi" w:hAnsiTheme="minorHAnsi" w:eastAsiaTheme="minorEastAsia" w:cstheme="minorBidi"/>
          <w:szCs w:val="22"/>
        </w:rPr>
      </w:pPr>
      <w:r>
        <w:fldChar w:fldCharType="begin"/>
      </w:r>
      <w:r>
        <w:instrText xml:space="preserve"> HYPERLINK \l "_Toc89957576" </w:instrText>
      </w:r>
      <w:r>
        <w:fldChar w:fldCharType="separate"/>
      </w:r>
      <w:r>
        <w:rPr>
          <w:rStyle w:val="32"/>
          <w14:scene3d>
            <w14:lightRig w14:rig="threePt" w14:dir="t">
              <w14:rot w14:lat="0" w14:lon="0" w14:rev="0"/>
            </w14:lightRig>
          </w14:scene3d>
        </w:rPr>
        <w:t xml:space="preserve">5.2 </w:t>
      </w:r>
      <w:r>
        <w:rPr>
          <w:rStyle w:val="32"/>
          <w:rFonts w:hint="eastAsia"/>
        </w:rPr>
        <w:t xml:space="preserve"> 接收安置服务</w:t>
      </w:r>
      <w:r>
        <w:tab/>
      </w:r>
      <w:r>
        <w:fldChar w:fldCharType="begin"/>
      </w:r>
      <w:r>
        <w:instrText xml:space="preserve"> PAGEREF _Toc89957576 \h </w:instrText>
      </w:r>
      <w:r>
        <w:fldChar w:fldCharType="separate"/>
      </w:r>
      <w:r>
        <w:t>3</w:t>
      </w:r>
      <w:r>
        <w:fldChar w:fldCharType="end"/>
      </w:r>
      <w:r>
        <w:fldChar w:fldCharType="end"/>
      </w:r>
    </w:p>
    <w:p w14:paraId="4B1395A9">
      <w:pPr>
        <w:pStyle w:val="24"/>
        <w:rPr>
          <w:rFonts w:asciiTheme="minorHAnsi" w:hAnsiTheme="minorHAnsi" w:eastAsiaTheme="minorEastAsia" w:cstheme="minorBidi"/>
          <w:szCs w:val="22"/>
        </w:rPr>
      </w:pPr>
      <w:r>
        <w:fldChar w:fldCharType="begin"/>
      </w:r>
      <w:r>
        <w:instrText xml:space="preserve"> HYPERLINK \l "_Toc89957577" </w:instrText>
      </w:r>
      <w:r>
        <w:fldChar w:fldCharType="separate"/>
      </w:r>
      <w:r>
        <w:rPr>
          <w:rStyle w:val="32"/>
          <w14:scene3d>
            <w14:lightRig w14:rig="threePt" w14:dir="t">
              <w14:rot w14:lat="0" w14:lon="0" w14:rev="0"/>
            </w14:lightRig>
          </w14:scene3d>
        </w:rPr>
        <w:t xml:space="preserve">5.3 </w:t>
      </w:r>
      <w:r>
        <w:rPr>
          <w:rStyle w:val="32"/>
          <w:rFonts w:hint="eastAsia"/>
        </w:rPr>
        <w:t xml:space="preserve"> 落实政治待遇</w:t>
      </w:r>
      <w:r>
        <w:tab/>
      </w:r>
      <w:r>
        <w:fldChar w:fldCharType="begin"/>
      </w:r>
      <w:r>
        <w:instrText xml:space="preserve"> PAGEREF _Toc89957577 \h </w:instrText>
      </w:r>
      <w:r>
        <w:fldChar w:fldCharType="separate"/>
      </w:r>
      <w:r>
        <w:t>4</w:t>
      </w:r>
      <w:r>
        <w:fldChar w:fldCharType="end"/>
      </w:r>
      <w:r>
        <w:fldChar w:fldCharType="end"/>
      </w:r>
    </w:p>
    <w:p w14:paraId="4ABF5412">
      <w:pPr>
        <w:pStyle w:val="24"/>
        <w:rPr>
          <w:rFonts w:asciiTheme="minorHAnsi" w:hAnsiTheme="minorHAnsi" w:eastAsiaTheme="minorEastAsia" w:cstheme="minorBidi"/>
          <w:szCs w:val="22"/>
        </w:rPr>
      </w:pPr>
      <w:r>
        <w:fldChar w:fldCharType="begin"/>
      </w:r>
      <w:r>
        <w:instrText xml:space="preserve"> HYPERLINK \l "_Toc89957578" </w:instrText>
      </w:r>
      <w:r>
        <w:fldChar w:fldCharType="separate"/>
      </w:r>
      <w:r>
        <w:rPr>
          <w:rStyle w:val="32"/>
          <w14:scene3d>
            <w14:lightRig w14:rig="threePt" w14:dir="t">
              <w14:rot w14:lat="0" w14:lon="0" w14:rev="0"/>
            </w14:lightRig>
          </w14:scene3d>
        </w:rPr>
        <w:t xml:space="preserve">5.4 </w:t>
      </w:r>
      <w:r>
        <w:rPr>
          <w:rStyle w:val="32"/>
          <w:rFonts w:hint="eastAsia"/>
        </w:rPr>
        <w:t xml:space="preserve"> 生活保障服务</w:t>
      </w:r>
      <w:r>
        <w:tab/>
      </w:r>
      <w:r>
        <w:fldChar w:fldCharType="begin"/>
      </w:r>
      <w:r>
        <w:instrText xml:space="preserve"> PAGEREF _Toc89957578 \h </w:instrText>
      </w:r>
      <w:r>
        <w:fldChar w:fldCharType="separate"/>
      </w:r>
      <w:r>
        <w:t>5</w:t>
      </w:r>
      <w:r>
        <w:fldChar w:fldCharType="end"/>
      </w:r>
      <w:r>
        <w:fldChar w:fldCharType="end"/>
      </w:r>
    </w:p>
    <w:p w14:paraId="525383CA">
      <w:pPr>
        <w:pStyle w:val="24"/>
        <w:rPr>
          <w:rFonts w:asciiTheme="minorHAnsi" w:hAnsiTheme="minorHAnsi" w:eastAsiaTheme="minorEastAsia" w:cstheme="minorBidi"/>
          <w:szCs w:val="22"/>
        </w:rPr>
      </w:pPr>
      <w:r>
        <w:fldChar w:fldCharType="begin"/>
      </w:r>
      <w:r>
        <w:instrText xml:space="preserve"> HYPERLINK \l "_Toc89957579" </w:instrText>
      </w:r>
      <w:r>
        <w:fldChar w:fldCharType="separate"/>
      </w:r>
      <w:r>
        <w:rPr>
          <w:rStyle w:val="32"/>
          <w14:scene3d>
            <w14:lightRig w14:rig="threePt" w14:dir="t">
              <w14:rot w14:lat="0" w14:lon="0" w14:rev="0"/>
            </w14:lightRig>
          </w14:scene3d>
        </w:rPr>
        <w:t xml:space="preserve">5.5 </w:t>
      </w:r>
      <w:r>
        <w:rPr>
          <w:rStyle w:val="32"/>
          <w:rFonts w:hint="eastAsia"/>
        </w:rPr>
        <w:t xml:space="preserve"> 医疗保健服务</w:t>
      </w:r>
      <w:r>
        <w:tab/>
      </w:r>
      <w:r>
        <w:fldChar w:fldCharType="begin"/>
      </w:r>
      <w:r>
        <w:instrText xml:space="preserve"> PAGEREF _Toc89957579 \h </w:instrText>
      </w:r>
      <w:r>
        <w:fldChar w:fldCharType="separate"/>
      </w:r>
      <w:r>
        <w:t>6</w:t>
      </w:r>
      <w:r>
        <w:fldChar w:fldCharType="end"/>
      </w:r>
      <w:r>
        <w:fldChar w:fldCharType="end"/>
      </w:r>
    </w:p>
    <w:p w14:paraId="10846C89">
      <w:pPr>
        <w:pStyle w:val="24"/>
        <w:rPr>
          <w:rFonts w:asciiTheme="minorHAnsi" w:hAnsiTheme="minorHAnsi" w:eastAsiaTheme="minorEastAsia" w:cstheme="minorBidi"/>
          <w:szCs w:val="22"/>
        </w:rPr>
      </w:pPr>
      <w:r>
        <w:fldChar w:fldCharType="begin"/>
      </w:r>
      <w:r>
        <w:instrText xml:space="preserve"> HYPERLINK \l "_Toc89957580" </w:instrText>
      </w:r>
      <w:r>
        <w:fldChar w:fldCharType="separate"/>
      </w:r>
      <w:r>
        <w:rPr>
          <w:rStyle w:val="32"/>
          <w14:scene3d>
            <w14:lightRig w14:rig="threePt" w14:dir="t">
              <w14:rot w14:lat="0" w14:lon="0" w14:rev="0"/>
            </w14:lightRig>
          </w14:scene3d>
        </w:rPr>
        <w:t xml:space="preserve">5.6 </w:t>
      </w:r>
      <w:r>
        <w:rPr>
          <w:rStyle w:val="32"/>
          <w:rFonts w:hint="eastAsia"/>
        </w:rPr>
        <w:t xml:space="preserve"> 文体教育服务</w:t>
      </w:r>
      <w:r>
        <w:tab/>
      </w:r>
      <w:r>
        <w:fldChar w:fldCharType="begin"/>
      </w:r>
      <w:r>
        <w:instrText xml:space="preserve"> PAGEREF _Toc89957580 \h </w:instrText>
      </w:r>
      <w:r>
        <w:fldChar w:fldCharType="separate"/>
      </w:r>
      <w:r>
        <w:t>7</w:t>
      </w:r>
      <w:r>
        <w:fldChar w:fldCharType="end"/>
      </w:r>
      <w:r>
        <w:fldChar w:fldCharType="end"/>
      </w:r>
    </w:p>
    <w:p w14:paraId="560FD359">
      <w:pPr>
        <w:pStyle w:val="24"/>
        <w:rPr>
          <w:rFonts w:asciiTheme="minorHAnsi" w:hAnsiTheme="minorHAnsi" w:eastAsiaTheme="minorEastAsia" w:cstheme="minorBidi"/>
          <w:szCs w:val="22"/>
        </w:rPr>
      </w:pPr>
      <w:r>
        <w:fldChar w:fldCharType="begin"/>
      </w:r>
      <w:r>
        <w:instrText xml:space="preserve"> HYPERLINK \l "_Toc89957581" </w:instrText>
      </w:r>
      <w:r>
        <w:fldChar w:fldCharType="separate"/>
      </w:r>
      <w:r>
        <w:rPr>
          <w:rStyle w:val="32"/>
          <w14:scene3d>
            <w14:lightRig w14:rig="threePt" w14:dir="t">
              <w14:rot w14:lat="0" w14:lon="0" w14:rev="0"/>
            </w14:lightRig>
          </w14:scene3d>
        </w:rPr>
        <w:t xml:space="preserve">5.7 </w:t>
      </w:r>
      <w:r>
        <w:rPr>
          <w:rStyle w:val="32"/>
          <w:rFonts w:hint="eastAsia"/>
        </w:rPr>
        <w:t xml:space="preserve"> 法律援助服务</w:t>
      </w:r>
      <w:r>
        <w:tab/>
      </w:r>
      <w:r>
        <w:fldChar w:fldCharType="begin"/>
      </w:r>
      <w:r>
        <w:instrText xml:space="preserve"> PAGEREF _Toc89957581 \h </w:instrText>
      </w:r>
      <w:r>
        <w:fldChar w:fldCharType="separate"/>
      </w:r>
      <w:r>
        <w:t>8</w:t>
      </w:r>
      <w:r>
        <w:fldChar w:fldCharType="end"/>
      </w:r>
      <w:r>
        <w:fldChar w:fldCharType="end"/>
      </w:r>
    </w:p>
    <w:p w14:paraId="61752E6F">
      <w:pPr>
        <w:pStyle w:val="24"/>
        <w:rPr>
          <w:rFonts w:asciiTheme="minorHAnsi" w:hAnsiTheme="minorHAnsi" w:eastAsiaTheme="minorEastAsia" w:cstheme="minorBidi"/>
          <w:szCs w:val="22"/>
        </w:rPr>
      </w:pPr>
      <w:r>
        <w:fldChar w:fldCharType="begin"/>
      </w:r>
      <w:r>
        <w:instrText xml:space="preserve"> HYPERLINK \l "_Toc89957582" </w:instrText>
      </w:r>
      <w:r>
        <w:fldChar w:fldCharType="separate"/>
      </w:r>
      <w:r>
        <w:rPr>
          <w:rStyle w:val="32"/>
          <w14:scene3d>
            <w14:lightRig w14:rig="threePt" w14:dir="t">
              <w14:rot w14:lat="0" w14:lon="0" w14:rev="0"/>
            </w14:lightRig>
          </w14:scene3d>
        </w:rPr>
        <w:t xml:space="preserve">5.8 </w:t>
      </w:r>
      <w:r>
        <w:rPr>
          <w:rStyle w:val="32"/>
          <w:rFonts w:hint="eastAsia"/>
        </w:rPr>
        <w:t xml:space="preserve"> 医养结合服务</w:t>
      </w:r>
      <w:r>
        <w:tab/>
      </w:r>
      <w:r>
        <w:fldChar w:fldCharType="begin"/>
      </w:r>
      <w:r>
        <w:instrText xml:space="preserve"> PAGEREF _Toc89957582 \h </w:instrText>
      </w:r>
      <w:r>
        <w:fldChar w:fldCharType="separate"/>
      </w:r>
      <w:r>
        <w:t>9</w:t>
      </w:r>
      <w:r>
        <w:fldChar w:fldCharType="end"/>
      </w:r>
      <w:r>
        <w:fldChar w:fldCharType="end"/>
      </w:r>
    </w:p>
    <w:p w14:paraId="064CA2EF">
      <w:pPr>
        <w:pStyle w:val="24"/>
        <w:rPr>
          <w:rFonts w:asciiTheme="minorHAnsi" w:hAnsiTheme="minorHAnsi" w:eastAsiaTheme="minorEastAsia" w:cstheme="minorBidi"/>
          <w:szCs w:val="22"/>
        </w:rPr>
      </w:pPr>
      <w:r>
        <w:fldChar w:fldCharType="begin"/>
      </w:r>
      <w:r>
        <w:instrText xml:space="preserve"> HYPERLINK \l "_Toc89957583" </w:instrText>
      </w:r>
      <w:r>
        <w:fldChar w:fldCharType="separate"/>
      </w:r>
      <w:r>
        <w:rPr>
          <w:rStyle w:val="32"/>
          <w14:scene3d>
            <w14:lightRig w14:rig="threePt" w14:dir="t">
              <w14:rot w14:lat="0" w14:lon="0" w14:rev="0"/>
            </w14:lightRig>
          </w14:scene3d>
        </w:rPr>
        <w:t xml:space="preserve">5.9 </w:t>
      </w:r>
      <w:r>
        <w:rPr>
          <w:rStyle w:val="32"/>
          <w:rFonts w:hint="eastAsia"/>
        </w:rPr>
        <w:t xml:space="preserve"> 社会作用发挥</w:t>
      </w:r>
      <w:r>
        <w:tab/>
      </w:r>
      <w:r>
        <w:fldChar w:fldCharType="begin"/>
      </w:r>
      <w:r>
        <w:instrText xml:space="preserve"> PAGEREF _Toc89957583 \h </w:instrText>
      </w:r>
      <w:r>
        <w:fldChar w:fldCharType="separate"/>
      </w:r>
      <w:r>
        <w:t>11</w:t>
      </w:r>
      <w:r>
        <w:fldChar w:fldCharType="end"/>
      </w:r>
      <w:r>
        <w:fldChar w:fldCharType="end"/>
      </w:r>
    </w:p>
    <w:p w14:paraId="6578BA57">
      <w:pPr>
        <w:pStyle w:val="19"/>
        <w:tabs>
          <w:tab w:val="right" w:leader="dot" w:pos="9344"/>
        </w:tabs>
        <w:rPr>
          <w:rFonts w:asciiTheme="minorHAnsi" w:hAnsiTheme="minorHAnsi" w:eastAsiaTheme="minorEastAsia" w:cstheme="minorBidi"/>
          <w:szCs w:val="22"/>
        </w:rPr>
      </w:pPr>
      <w:r>
        <w:fldChar w:fldCharType="begin"/>
      </w:r>
      <w:r>
        <w:instrText xml:space="preserve"> HYPERLINK \l "_Toc89957584" </w:instrText>
      </w:r>
      <w:r>
        <w:fldChar w:fldCharType="separate"/>
      </w:r>
      <w:r>
        <w:rPr>
          <w:rStyle w:val="32"/>
        </w:rPr>
        <w:t xml:space="preserve">6 </w:t>
      </w:r>
      <w:r>
        <w:rPr>
          <w:rStyle w:val="32"/>
          <w:rFonts w:hint="eastAsia"/>
        </w:rPr>
        <w:t xml:space="preserve"> 服务管理要求</w:t>
      </w:r>
      <w:r>
        <w:tab/>
      </w:r>
      <w:r>
        <w:fldChar w:fldCharType="begin"/>
      </w:r>
      <w:r>
        <w:instrText xml:space="preserve"> PAGEREF _Toc89957584 \h </w:instrText>
      </w:r>
      <w:r>
        <w:fldChar w:fldCharType="separate"/>
      </w:r>
      <w:r>
        <w:t>11</w:t>
      </w:r>
      <w:r>
        <w:fldChar w:fldCharType="end"/>
      </w:r>
      <w:r>
        <w:fldChar w:fldCharType="end"/>
      </w:r>
    </w:p>
    <w:p w14:paraId="304567B0">
      <w:pPr>
        <w:pStyle w:val="24"/>
        <w:rPr>
          <w:rFonts w:asciiTheme="minorHAnsi" w:hAnsiTheme="minorHAnsi" w:eastAsiaTheme="minorEastAsia" w:cstheme="minorBidi"/>
          <w:szCs w:val="22"/>
        </w:rPr>
      </w:pPr>
      <w:r>
        <w:fldChar w:fldCharType="begin"/>
      </w:r>
      <w:r>
        <w:instrText xml:space="preserve"> HYPERLINK \l "_Toc89957585" </w:instrText>
      </w:r>
      <w:r>
        <w:fldChar w:fldCharType="separate"/>
      </w:r>
      <w:r>
        <w:rPr>
          <w:rStyle w:val="32"/>
          <w14:scene3d>
            <w14:lightRig w14:rig="threePt" w14:dir="t">
              <w14:rot w14:lat="0" w14:lon="0" w14:rev="0"/>
            </w14:lightRig>
          </w14:scene3d>
        </w:rPr>
        <w:t xml:space="preserve">6.1 </w:t>
      </w:r>
      <w:r>
        <w:rPr>
          <w:rStyle w:val="32"/>
          <w:rFonts w:hint="eastAsia"/>
        </w:rPr>
        <w:t xml:space="preserve"> 制度和文化建设</w:t>
      </w:r>
      <w:r>
        <w:tab/>
      </w:r>
      <w:r>
        <w:fldChar w:fldCharType="begin"/>
      </w:r>
      <w:r>
        <w:instrText xml:space="preserve"> PAGEREF _Toc89957585 \h </w:instrText>
      </w:r>
      <w:r>
        <w:fldChar w:fldCharType="separate"/>
      </w:r>
      <w:r>
        <w:t>11</w:t>
      </w:r>
      <w:r>
        <w:fldChar w:fldCharType="end"/>
      </w:r>
      <w:r>
        <w:fldChar w:fldCharType="end"/>
      </w:r>
    </w:p>
    <w:p w14:paraId="0DD132BF">
      <w:pPr>
        <w:pStyle w:val="24"/>
        <w:rPr>
          <w:rFonts w:asciiTheme="minorHAnsi" w:hAnsiTheme="minorHAnsi" w:eastAsiaTheme="minorEastAsia" w:cstheme="minorBidi"/>
          <w:szCs w:val="22"/>
        </w:rPr>
      </w:pPr>
      <w:r>
        <w:fldChar w:fldCharType="begin"/>
      </w:r>
      <w:r>
        <w:instrText xml:space="preserve"> HYPERLINK \l "_Toc89957586" </w:instrText>
      </w:r>
      <w:r>
        <w:fldChar w:fldCharType="separate"/>
      </w:r>
      <w:r>
        <w:rPr>
          <w:rStyle w:val="32"/>
          <w14:scene3d>
            <w14:lightRig w14:rig="threePt" w14:dir="t">
              <w14:rot w14:lat="0" w14:lon="0" w14:rev="0"/>
            </w14:lightRig>
          </w14:scene3d>
        </w:rPr>
        <w:t xml:space="preserve">6.2 </w:t>
      </w:r>
      <w:r>
        <w:rPr>
          <w:rStyle w:val="32"/>
          <w:rFonts w:hint="eastAsia"/>
        </w:rPr>
        <w:t xml:space="preserve"> 安全和应急管理</w:t>
      </w:r>
      <w:r>
        <w:tab/>
      </w:r>
      <w:r>
        <w:fldChar w:fldCharType="begin"/>
      </w:r>
      <w:r>
        <w:instrText xml:space="preserve"> PAGEREF _Toc89957586 \h </w:instrText>
      </w:r>
      <w:r>
        <w:fldChar w:fldCharType="separate"/>
      </w:r>
      <w:r>
        <w:t>12</w:t>
      </w:r>
      <w:r>
        <w:fldChar w:fldCharType="end"/>
      </w:r>
      <w:r>
        <w:fldChar w:fldCharType="end"/>
      </w:r>
    </w:p>
    <w:p w14:paraId="6B263630">
      <w:pPr>
        <w:pStyle w:val="24"/>
        <w:rPr>
          <w:rFonts w:asciiTheme="minorHAnsi" w:hAnsiTheme="minorHAnsi" w:eastAsiaTheme="minorEastAsia" w:cstheme="minorBidi"/>
          <w:szCs w:val="22"/>
        </w:rPr>
      </w:pPr>
      <w:r>
        <w:fldChar w:fldCharType="begin"/>
      </w:r>
      <w:r>
        <w:instrText xml:space="preserve"> HYPERLINK \l "_Toc89957587" </w:instrText>
      </w:r>
      <w:r>
        <w:fldChar w:fldCharType="separate"/>
      </w:r>
      <w:r>
        <w:rPr>
          <w:rStyle w:val="32"/>
          <w14:scene3d>
            <w14:lightRig w14:rig="threePt" w14:dir="t">
              <w14:rot w14:lat="0" w14:lon="0" w14:rev="0"/>
            </w14:lightRig>
          </w14:scene3d>
        </w:rPr>
        <w:t xml:space="preserve">6.3 </w:t>
      </w:r>
      <w:r>
        <w:rPr>
          <w:rStyle w:val="32"/>
          <w:rFonts w:hint="eastAsia"/>
        </w:rPr>
        <w:t xml:space="preserve"> 财务管理</w:t>
      </w:r>
      <w:r>
        <w:tab/>
      </w:r>
      <w:r>
        <w:fldChar w:fldCharType="begin"/>
      </w:r>
      <w:r>
        <w:instrText xml:space="preserve"> PAGEREF _Toc89957587 \h </w:instrText>
      </w:r>
      <w:r>
        <w:fldChar w:fldCharType="separate"/>
      </w:r>
      <w:r>
        <w:t>12</w:t>
      </w:r>
      <w:r>
        <w:fldChar w:fldCharType="end"/>
      </w:r>
      <w:r>
        <w:fldChar w:fldCharType="end"/>
      </w:r>
    </w:p>
    <w:p w14:paraId="20EB4AFF">
      <w:pPr>
        <w:pStyle w:val="24"/>
        <w:rPr>
          <w:rFonts w:asciiTheme="minorHAnsi" w:hAnsiTheme="minorHAnsi" w:eastAsiaTheme="minorEastAsia" w:cstheme="minorBidi"/>
          <w:szCs w:val="22"/>
        </w:rPr>
      </w:pPr>
      <w:r>
        <w:fldChar w:fldCharType="begin"/>
      </w:r>
      <w:r>
        <w:instrText xml:space="preserve"> HYPERLINK \l "_Toc89957588" </w:instrText>
      </w:r>
      <w:r>
        <w:fldChar w:fldCharType="separate"/>
      </w:r>
      <w:r>
        <w:rPr>
          <w:rStyle w:val="32"/>
          <w14:scene3d>
            <w14:lightRig w14:rig="threePt" w14:dir="t">
              <w14:rot w14:lat="0" w14:lon="0" w14:rev="0"/>
            </w14:lightRig>
          </w14:scene3d>
        </w:rPr>
        <w:t xml:space="preserve">6.4 </w:t>
      </w:r>
      <w:r>
        <w:rPr>
          <w:rStyle w:val="32"/>
          <w:rFonts w:hint="eastAsia"/>
        </w:rPr>
        <w:t xml:space="preserve"> 信息化管理</w:t>
      </w:r>
      <w:r>
        <w:tab/>
      </w:r>
      <w:r>
        <w:fldChar w:fldCharType="begin"/>
      </w:r>
      <w:r>
        <w:instrText xml:space="preserve"> PAGEREF _Toc89957588 \h </w:instrText>
      </w:r>
      <w:r>
        <w:fldChar w:fldCharType="separate"/>
      </w:r>
      <w:r>
        <w:t>12</w:t>
      </w:r>
      <w:r>
        <w:fldChar w:fldCharType="end"/>
      </w:r>
      <w:r>
        <w:fldChar w:fldCharType="end"/>
      </w:r>
    </w:p>
    <w:p w14:paraId="10D82C16">
      <w:pPr>
        <w:pStyle w:val="24"/>
        <w:rPr>
          <w:rFonts w:asciiTheme="minorHAnsi" w:hAnsiTheme="minorHAnsi" w:eastAsiaTheme="minorEastAsia" w:cstheme="minorBidi"/>
          <w:szCs w:val="22"/>
        </w:rPr>
      </w:pPr>
      <w:r>
        <w:fldChar w:fldCharType="begin"/>
      </w:r>
      <w:r>
        <w:instrText xml:space="preserve"> HYPERLINK \l "_Toc89957589" </w:instrText>
      </w:r>
      <w:r>
        <w:fldChar w:fldCharType="separate"/>
      </w:r>
      <w:r>
        <w:rPr>
          <w:rStyle w:val="32"/>
          <w14:scene3d>
            <w14:lightRig w14:rig="threePt" w14:dir="t">
              <w14:rot w14:lat="0" w14:lon="0" w14:rev="0"/>
            </w14:lightRig>
          </w14:scene3d>
        </w:rPr>
        <w:t xml:space="preserve">6.5 </w:t>
      </w:r>
      <w:r>
        <w:rPr>
          <w:rStyle w:val="32"/>
          <w:rFonts w:hint="eastAsia"/>
        </w:rPr>
        <w:t xml:space="preserve"> 社会化管理</w:t>
      </w:r>
      <w:r>
        <w:tab/>
      </w:r>
      <w:r>
        <w:fldChar w:fldCharType="begin"/>
      </w:r>
      <w:r>
        <w:instrText xml:space="preserve"> PAGEREF _Toc89957589 \h </w:instrText>
      </w:r>
      <w:r>
        <w:fldChar w:fldCharType="separate"/>
      </w:r>
      <w:r>
        <w:t>13</w:t>
      </w:r>
      <w:r>
        <w:fldChar w:fldCharType="end"/>
      </w:r>
      <w:r>
        <w:fldChar w:fldCharType="end"/>
      </w:r>
    </w:p>
    <w:p w14:paraId="7D4544C5">
      <w:pPr>
        <w:pStyle w:val="24"/>
        <w:rPr>
          <w:rFonts w:asciiTheme="minorHAnsi" w:hAnsiTheme="minorHAnsi" w:eastAsiaTheme="minorEastAsia" w:cstheme="minorBidi"/>
          <w:szCs w:val="22"/>
        </w:rPr>
      </w:pPr>
      <w:r>
        <w:fldChar w:fldCharType="begin"/>
      </w:r>
      <w:r>
        <w:instrText xml:space="preserve"> HYPERLINK \l "_Toc89957590" </w:instrText>
      </w:r>
      <w:r>
        <w:fldChar w:fldCharType="separate"/>
      </w:r>
      <w:r>
        <w:rPr>
          <w:rStyle w:val="32"/>
          <w14:scene3d>
            <w14:lightRig w14:rig="threePt" w14:dir="t">
              <w14:rot w14:lat="0" w14:lon="0" w14:rev="0"/>
            </w14:lightRig>
          </w14:scene3d>
        </w:rPr>
        <w:t xml:space="preserve">6.6 </w:t>
      </w:r>
      <w:r>
        <w:rPr>
          <w:rStyle w:val="32"/>
          <w:rFonts w:hint="eastAsia"/>
        </w:rPr>
        <w:t xml:space="preserve"> 档案管理</w:t>
      </w:r>
      <w:r>
        <w:tab/>
      </w:r>
      <w:r>
        <w:fldChar w:fldCharType="begin"/>
      </w:r>
      <w:r>
        <w:instrText xml:space="preserve"> PAGEREF _Toc89957590 \h </w:instrText>
      </w:r>
      <w:r>
        <w:fldChar w:fldCharType="separate"/>
      </w:r>
      <w:r>
        <w:t>13</w:t>
      </w:r>
      <w:r>
        <w:fldChar w:fldCharType="end"/>
      </w:r>
      <w:r>
        <w:fldChar w:fldCharType="end"/>
      </w:r>
    </w:p>
    <w:p w14:paraId="66DE6EFE">
      <w:pPr>
        <w:pStyle w:val="19"/>
        <w:tabs>
          <w:tab w:val="right" w:leader="dot" w:pos="9344"/>
        </w:tabs>
        <w:rPr>
          <w:rFonts w:asciiTheme="minorHAnsi" w:hAnsiTheme="minorHAnsi" w:eastAsiaTheme="minorEastAsia" w:cstheme="minorBidi"/>
          <w:szCs w:val="22"/>
        </w:rPr>
      </w:pPr>
      <w:r>
        <w:fldChar w:fldCharType="begin"/>
      </w:r>
      <w:r>
        <w:instrText xml:space="preserve"> HYPERLINK \l "_Toc89957591" </w:instrText>
      </w:r>
      <w:r>
        <w:fldChar w:fldCharType="separate"/>
      </w:r>
      <w:r>
        <w:rPr>
          <w:rStyle w:val="32"/>
        </w:rPr>
        <w:t xml:space="preserve">7 </w:t>
      </w:r>
      <w:r>
        <w:rPr>
          <w:rStyle w:val="32"/>
          <w:rFonts w:hint="eastAsia"/>
        </w:rPr>
        <w:t xml:space="preserve"> 评价与改进</w:t>
      </w:r>
      <w:r>
        <w:tab/>
      </w:r>
      <w:r>
        <w:fldChar w:fldCharType="begin"/>
      </w:r>
      <w:r>
        <w:instrText xml:space="preserve"> PAGEREF _Toc89957591 \h </w:instrText>
      </w:r>
      <w:r>
        <w:fldChar w:fldCharType="separate"/>
      </w:r>
      <w:r>
        <w:t>13</w:t>
      </w:r>
      <w:r>
        <w:fldChar w:fldCharType="end"/>
      </w:r>
      <w:r>
        <w:fldChar w:fldCharType="end"/>
      </w:r>
    </w:p>
    <w:p w14:paraId="6E0C0A22">
      <w:pPr>
        <w:pStyle w:val="24"/>
        <w:rPr>
          <w:rFonts w:asciiTheme="minorHAnsi" w:hAnsiTheme="minorHAnsi" w:eastAsiaTheme="minorEastAsia" w:cstheme="minorBidi"/>
          <w:szCs w:val="22"/>
        </w:rPr>
      </w:pPr>
      <w:r>
        <w:fldChar w:fldCharType="begin"/>
      </w:r>
      <w:r>
        <w:instrText xml:space="preserve"> HYPERLINK \l "_Toc89957592" </w:instrText>
      </w:r>
      <w:r>
        <w:fldChar w:fldCharType="separate"/>
      </w:r>
      <w:r>
        <w:rPr>
          <w:rStyle w:val="32"/>
          <w14:scene3d>
            <w14:lightRig w14:rig="threePt" w14:dir="t">
              <w14:rot w14:lat="0" w14:lon="0" w14:rev="0"/>
            </w14:lightRig>
          </w14:scene3d>
        </w:rPr>
        <w:t xml:space="preserve">7.1 </w:t>
      </w:r>
      <w:r>
        <w:rPr>
          <w:rStyle w:val="32"/>
          <w:rFonts w:hint="eastAsia"/>
        </w:rPr>
        <w:t xml:space="preserve"> 评价原则</w:t>
      </w:r>
      <w:r>
        <w:tab/>
      </w:r>
      <w:r>
        <w:fldChar w:fldCharType="begin"/>
      </w:r>
      <w:r>
        <w:instrText xml:space="preserve"> PAGEREF _Toc89957592 \h </w:instrText>
      </w:r>
      <w:r>
        <w:fldChar w:fldCharType="separate"/>
      </w:r>
      <w:r>
        <w:t>13</w:t>
      </w:r>
      <w:r>
        <w:fldChar w:fldCharType="end"/>
      </w:r>
      <w:r>
        <w:fldChar w:fldCharType="end"/>
      </w:r>
    </w:p>
    <w:p w14:paraId="657E1B15">
      <w:pPr>
        <w:pStyle w:val="24"/>
        <w:rPr>
          <w:rFonts w:asciiTheme="minorHAnsi" w:hAnsiTheme="minorHAnsi" w:eastAsiaTheme="minorEastAsia" w:cstheme="minorBidi"/>
          <w:szCs w:val="22"/>
        </w:rPr>
      </w:pPr>
      <w:r>
        <w:fldChar w:fldCharType="begin"/>
      </w:r>
      <w:r>
        <w:instrText xml:space="preserve"> HYPERLINK \l "_Toc89957593" </w:instrText>
      </w:r>
      <w:r>
        <w:fldChar w:fldCharType="separate"/>
      </w:r>
      <w:r>
        <w:rPr>
          <w:rStyle w:val="32"/>
          <w14:scene3d>
            <w14:lightRig w14:rig="threePt" w14:dir="t">
              <w14:rot w14:lat="0" w14:lon="0" w14:rev="0"/>
            </w14:lightRig>
          </w14:scene3d>
        </w:rPr>
        <w:t xml:space="preserve">7.2 </w:t>
      </w:r>
      <w:r>
        <w:rPr>
          <w:rStyle w:val="32"/>
          <w:rFonts w:hint="eastAsia"/>
        </w:rPr>
        <w:t xml:space="preserve"> 评价依据</w:t>
      </w:r>
      <w:r>
        <w:tab/>
      </w:r>
      <w:r>
        <w:fldChar w:fldCharType="begin"/>
      </w:r>
      <w:r>
        <w:instrText xml:space="preserve"> PAGEREF _Toc89957593 \h </w:instrText>
      </w:r>
      <w:r>
        <w:fldChar w:fldCharType="separate"/>
      </w:r>
      <w:r>
        <w:t>13</w:t>
      </w:r>
      <w:r>
        <w:fldChar w:fldCharType="end"/>
      </w:r>
      <w:r>
        <w:fldChar w:fldCharType="end"/>
      </w:r>
    </w:p>
    <w:p w14:paraId="1BFAD15E">
      <w:pPr>
        <w:pStyle w:val="24"/>
        <w:rPr>
          <w:rFonts w:asciiTheme="minorHAnsi" w:hAnsiTheme="minorHAnsi" w:eastAsiaTheme="minorEastAsia" w:cstheme="minorBidi"/>
          <w:szCs w:val="22"/>
        </w:rPr>
      </w:pPr>
      <w:r>
        <w:fldChar w:fldCharType="begin"/>
      </w:r>
      <w:r>
        <w:instrText xml:space="preserve"> HYPERLINK \l "_Toc89957594" </w:instrText>
      </w:r>
      <w:r>
        <w:fldChar w:fldCharType="separate"/>
      </w:r>
      <w:r>
        <w:rPr>
          <w:rStyle w:val="32"/>
          <w14:scene3d>
            <w14:lightRig w14:rig="threePt" w14:dir="t">
              <w14:rot w14:lat="0" w14:lon="0" w14:rev="0"/>
            </w14:lightRig>
          </w14:scene3d>
        </w:rPr>
        <w:t xml:space="preserve">7.3 </w:t>
      </w:r>
      <w:r>
        <w:rPr>
          <w:rStyle w:val="32"/>
          <w:rFonts w:hint="eastAsia"/>
        </w:rPr>
        <w:t xml:space="preserve"> 评价主体及评价内容</w:t>
      </w:r>
      <w:r>
        <w:tab/>
      </w:r>
      <w:r>
        <w:fldChar w:fldCharType="begin"/>
      </w:r>
      <w:r>
        <w:instrText xml:space="preserve"> PAGEREF _Toc89957594 \h </w:instrText>
      </w:r>
      <w:r>
        <w:fldChar w:fldCharType="separate"/>
      </w:r>
      <w:r>
        <w:t>13</w:t>
      </w:r>
      <w:r>
        <w:fldChar w:fldCharType="end"/>
      </w:r>
      <w:r>
        <w:fldChar w:fldCharType="end"/>
      </w:r>
    </w:p>
    <w:p w14:paraId="5DB66E8F">
      <w:pPr>
        <w:pStyle w:val="24"/>
        <w:rPr>
          <w:rFonts w:asciiTheme="minorHAnsi" w:hAnsiTheme="minorHAnsi" w:eastAsiaTheme="minorEastAsia" w:cstheme="minorBidi"/>
          <w:szCs w:val="22"/>
        </w:rPr>
      </w:pPr>
      <w:r>
        <w:fldChar w:fldCharType="begin"/>
      </w:r>
      <w:r>
        <w:instrText xml:space="preserve"> HYPERLINK \l "_Toc89957595" </w:instrText>
      </w:r>
      <w:r>
        <w:fldChar w:fldCharType="separate"/>
      </w:r>
      <w:r>
        <w:rPr>
          <w:rStyle w:val="32"/>
          <w14:scene3d>
            <w14:lightRig w14:rig="threePt" w14:dir="t">
              <w14:rot w14:lat="0" w14:lon="0" w14:rev="0"/>
            </w14:lightRig>
          </w14:scene3d>
        </w:rPr>
        <w:t xml:space="preserve">7.4 </w:t>
      </w:r>
      <w:r>
        <w:rPr>
          <w:rStyle w:val="32"/>
          <w:rFonts w:hint="eastAsia"/>
        </w:rPr>
        <w:t xml:space="preserve"> 评价方式</w:t>
      </w:r>
      <w:r>
        <w:tab/>
      </w:r>
      <w:r>
        <w:fldChar w:fldCharType="begin"/>
      </w:r>
      <w:r>
        <w:instrText xml:space="preserve"> PAGEREF _Toc89957595 \h </w:instrText>
      </w:r>
      <w:r>
        <w:fldChar w:fldCharType="separate"/>
      </w:r>
      <w:r>
        <w:t>14</w:t>
      </w:r>
      <w:r>
        <w:fldChar w:fldCharType="end"/>
      </w:r>
      <w:r>
        <w:fldChar w:fldCharType="end"/>
      </w:r>
    </w:p>
    <w:p w14:paraId="51227430">
      <w:pPr>
        <w:pStyle w:val="24"/>
        <w:rPr>
          <w:rFonts w:asciiTheme="minorHAnsi" w:hAnsiTheme="minorHAnsi" w:eastAsiaTheme="minorEastAsia" w:cstheme="minorBidi"/>
          <w:szCs w:val="22"/>
        </w:rPr>
      </w:pPr>
      <w:r>
        <w:fldChar w:fldCharType="begin"/>
      </w:r>
      <w:r>
        <w:instrText xml:space="preserve"> HYPERLINK \l "_Toc89957596" </w:instrText>
      </w:r>
      <w:r>
        <w:fldChar w:fldCharType="separate"/>
      </w:r>
      <w:r>
        <w:rPr>
          <w:rStyle w:val="32"/>
          <w14:scene3d>
            <w14:lightRig w14:rig="threePt" w14:dir="t">
              <w14:rot w14:lat="0" w14:lon="0" w14:rev="0"/>
            </w14:lightRig>
          </w14:scene3d>
        </w:rPr>
        <w:t xml:space="preserve">7.5 </w:t>
      </w:r>
      <w:r>
        <w:rPr>
          <w:rStyle w:val="32"/>
          <w:rFonts w:hint="eastAsia"/>
        </w:rPr>
        <w:t xml:space="preserve"> 申诉与投诉</w:t>
      </w:r>
      <w:r>
        <w:tab/>
      </w:r>
      <w:r>
        <w:fldChar w:fldCharType="begin"/>
      </w:r>
      <w:r>
        <w:instrText xml:space="preserve"> PAGEREF _Toc89957596 \h </w:instrText>
      </w:r>
      <w:r>
        <w:fldChar w:fldCharType="separate"/>
      </w:r>
      <w:r>
        <w:t>14</w:t>
      </w:r>
      <w:r>
        <w:fldChar w:fldCharType="end"/>
      </w:r>
      <w:r>
        <w:fldChar w:fldCharType="end"/>
      </w:r>
    </w:p>
    <w:p w14:paraId="5A0203E1">
      <w:pPr>
        <w:pStyle w:val="24"/>
        <w:rPr>
          <w:rFonts w:asciiTheme="minorHAnsi" w:hAnsiTheme="minorHAnsi" w:eastAsiaTheme="minorEastAsia" w:cstheme="minorBidi"/>
          <w:szCs w:val="22"/>
        </w:rPr>
      </w:pPr>
      <w:r>
        <w:fldChar w:fldCharType="begin"/>
      </w:r>
      <w:r>
        <w:instrText xml:space="preserve"> HYPERLINK \l "_Toc89957597" </w:instrText>
      </w:r>
      <w:r>
        <w:fldChar w:fldCharType="separate"/>
      </w:r>
      <w:r>
        <w:rPr>
          <w:rStyle w:val="32"/>
          <w14:scene3d>
            <w14:lightRig w14:rig="threePt" w14:dir="t">
              <w14:rot w14:lat="0" w14:lon="0" w14:rev="0"/>
            </w14:lightRig>
          </w14:scene3d>
        </w:rPr>
        <w:t xml:space="preserve">7.6 </w:t>
      </w:r>
      <w:r>
        <w:rPr>
          <w:rStyle w:val="32"/>
          <w:rFonts w:hint="eastAsia"/>
        </w:rPr>
        <w:t xml:space="preserve"> 改进</w:t>
      </w:r>
      <w:r>
        <w:tab/>
      </w:r>
      <w:r>
        <w:fldChar w:fldCharType="begin"/>
      </w:r>
      <w:r>
        <w:instrText xml:space="preserve"> PAGEREF _Toc89957597 \h </w:instrText>
      </w:r>
      <w:r>
        <w:fldChar w:fldCharType="separate"/>
      </w:r>
      <w:r>
        <w:t>14</w:t>
      </w:r>
      <w:r>
        <w:fldChar w:fldCharType="end"/>
      </w:r>
      <w:r>
        <w:fldChar w:fldCharType="end"/>
      </w:r>
    </w:p>
    <w:p w14:paraId="0FACFE6B">
      <w:pPr>
        <w:pStyle w:val="19"/>
        <w:tabs>
          <w:tab w:val="right" w:leader="dot" w:pos="9344"/>
        </w:tabs>
        <w:rPr>
          <w:rFonts w:asciiTheme="minorHAnsi" w:hAnsiTheme="minorHAnsi" w:eastAsiaTheme="minorEastAsia" w:cstheme="minorBidi"/>
          <w:szCs w:val="22"/>
        </w:rPr>
      </w:pPr>
      <w:r>
        <w:fldChar w:fldCharType="begin"/>
      </w:r>
      <w:r>
        <w:instrText xml:space="preserve"> HYPERLINK \l "_Toc89957598" </w:instrText>
      </w:r>
      <w:r>
        <w:fldChar w:fldCharType="separate"/>
      </w:r>
      <w:r>
        <w:rPr>
          <w:rStyle w:val="32"/>
          <w:rFonts w:hint="eastAsia"/>
        </w:rPr>
        <w:t>附录A（资料性）</w:t>
      </w:r>
      <w:r>
        <w:rPr>
          <w:rStyle w:val="32"/>
        </w:rPr>
        <w:t xml:space="preserve">  </w:t>
      </w:r>
      <w:r>
        <w:rPr>
          <w:rStyle w:val="32"/>
          <w:rFonts w:hint="eastAsia"/>
        </w:rPr>
        <w:t>军队离退休人员交接协议书</w:t>
      </w:r>
      <w:r>
        <w:tab/>
      </w:r>
      <w:r>
        <w:fldChar w:fldCharType="begin"/>
      </w:r>
      <w:r>
        <w:instrText xml:space="preserve"> PAGEREF _Toc89957598 \h </w:instrText>
      </w:r>
      <w:r>
        <w:fldChar w:fldCharType="separate"/>
      </w:r>
      <w:r>
        <w:t>16</w:t>
      </w:r>
      <w:r>
        <w:fldChar w:fldCharType="end"/>
      </w:r>
      <w:r>
        <w:fldChar w:fldCharType="end"/>
      </w:r>
    </w:p>
    <w:p w14:paraId="60CA5A64">
      <w:pPr>
        <w:pStyle w:val="19"/>
        <w:tabs>
          <w:tab w:val="right" w:leader="dot" w:pos="9344"/>
        </w:tabs>
        <w:rPr>
          <w:rFonts w:asciiTheme="minorHAnsi" w:hAnsiTheme="minorHAnsi" w:eastAsiaTheme="minorEastAsia" w:cstheme="minorBidi"/>
          <w:szCs w:val="22"/>
        </w:rPr>
      </w:pPr>
      <w:r>
        <w:fldChar w:fldCharType="begin"/>
      </w:r>
      <w:r>
        <w:instrText xml:space="preserve"> HYPERLINK \l "_Toc89957599" </w:instrText>
      </w:r>
      <w:r>
        <w:fldChar w:fldCharType="separate"/>
      </w:r>
      <w:r>
        <w:rPr>
          <w:rStyle w:val="32"/>
          <w:rFonts w:hint="eastAsia"/>
        </w:rPr>
        <w:t>附录B（资料性）</w:t>
      </w:r>
      <w:r>
        <w:rPr>
          <w:rStyle w:val="32"/>
        </w:rPr>
        <w:t xml:space="preserve">  </w:t>
      </w:r>
      <w:r>
        <w:rPr>
          <w:rStyle w:val="32"/>
          <w:rFonts w:hint="eastAsia"/>
        </w:rPr>
        <w:t>军休干部满意度调查问卷示例</w:t>
      </w:r>
      <w:r>
        <w:tab/>
      </w:r>
      <w:r>
        <w:fldChar w:fldCharType="begin"/>
      </w:r>
      <w:r>
        <w:instrText xml:space="preserve"> PAGEREF _Toc89957599 \h </w:instrText>
      </w:r>
      <w:r>
        <w:fldChar w:fldCharType="separate"/>
      </w:r>
      <w:r>
        <w:t>18</w:t>
      </w:r>
      <w:r>
        <w:fldChar w:fldCharType="end"/>
      </w:r>
      <w:r>
        <w:fldChar w:fldCharType="end"/>
      </w:r>
    </w:p>
    <w:p w14:paraId="60934334">
      <w:pPr>
        <w:pStyle w:val="19"/>
        <w:tabs>
          <w:tab w:val="right" w:leader="dot" w:pos="9344"/>
        </w:tabs>
        <w:rPr>
          <w:rFonts w:asciiTheme="minorHAnsi" w:hAnsiTheme="minorHAnsi" w:eastAsiaTheme="minorEastAsia" w:cstheme="minorBidi"/>
          <w:szCs w:val="22"/>
        </w:rPr>
      </w:pPr>
      <w:r>
        <w:fldChar w:fldCharType="begin"/>
      </w:r>
      <w:r>
        <w:instrText xml:space="preserve"> HYPERLINK \l "_Toc89957600" </w:instrText>
      </w:r>
      <w:r>
        <w:fldChar w:fldCharType="separate"/>
      </w:r>
      <w:r>
        <w:rPr>
          <w:rStyle w:val="32"/>
          <w:rFonts w:hint="eastAsia"/>
        </w:rPr>
        <w:t>参考文献</w:t>
      </w:r>
      <w:r>
        <w:tab/>
      </w:r>
      <w:r>
        <w:fldChar w:fldCharType="begin"/>
      </w:r>
      <w:r>
        <w:instrText xml:space="preserve"> PAGEREF _Toc89957600 \h </w:instrText>
      </w:r>
      <w:r>
        <w:fldChar w:fldCharType="separate"/>
      </w:r>
      <w:r>
        <w:t>21</w:t>
      </w:r>
      <w:r>
        <w:fldChar w:fldCharType="end"/>
      </w:r>
      <w:r>
        <w:fldChar w:fldCharType="end"/>
      </w:r>
    </w:p>
    <w:p w14:paraId="74B11957">
      <w:pPr>
        <w:pStyle w:val="91"/>
        <w:spacing w:after="468"/>
        <w:sectPr>
          <w:headerReference r:id="rId11" w:type="default"/>
          <w:footerReference r:id="rId13" w:type="default"/>
          <w:headerReference r:id="rId12" w:type="even"/>
          <w:pgSz w:w="11906" w:h="16838"/>
          <w:pgMar w:top="567" w:right="1134" w:bottom="1134" w:left="1134" w:header="1418" w:footer="1134" w:gutter="284"/>
          <w:pgNumType w:fmt="upperRoman" w:start="1"/>
          <w:cols w:space="425" w:num="1"/>
          <w:formProt w:val="0"/>
          <w:docGrid w:type="lines" w:linePitch="312" w:charSpace="0"/>
        </w:sectPr>
      </w:pPr>
      <w:r>
        <w:fldChar w:fldCharType="end"/>
      </w:r>
    </w:p>
    <w:bookmarkEnd w:id="18"/>
    <w:p w14:paraId="5469179D">
      <w:pPr>
        <w:pStyle w:val="89"/>
        <w:spacing w:after="468"/>
      </w:pPr>
      <w:bookmarkStart w:id="21" w:name="_Toc89957565"/>
      <w:bookmarkStart w:id="22" w:name="BookMark2"/>
      <w:r>
        <w:rPr>
          <w:spacing w:val="320"/>
        </w:rPr>
        <w:t>前</w:t>
      </w:r>
      <w:r>
        <w:t>言</w:t>
      </w:r>
      <w:bookmarkEnd w:id="19"/>
      <w:bookmarkEnd w:id="20"/>
      <w:bookmarkEnd w:id="21"/>
    </w:p>
    <w:p w14:paraId="19B99D8D">
      <w:pPr>
        <w:pStyle w:val="56"/>
        <w:ind w:firstLine="420"/>
      </w:pPr>
      <w:r>
        <w:rPr>
          <w:rFonts w:hint="eastAsia"/>
        </w:rPr>
        <w:t>本文件按照GB/T 1.1—2020《标准化工作导则  第1部分：标准化文件的结构和起草规则》的规定起草。</w:t>
      </w:r>
    </w:p>
    <w:p w14:paraId="5D0B59F2">
      <w:pPr>
        <w:pStyle w:val="56"/>
        <w:ind w:firstLine="420"/>
      </w:pPr>
      <w:r>
        <w:rPr>
          <w:rFonts w:hint="eastAsia"/>
        </w:rPr>
        <w:t>请注意本文件的某些内容可能涉及专利。本文件的发布机构不承担识别专利的责任。</w:t>
      </w:r>
    </w:p>
    <w:p w14:paraId="131F725A">
      <w:pPr>
        <w:pStyle w:val="56"/>
        <w:ind w:firstLine="420"/>
      </w:pPr>
      <w:r>
        <w:rPr>
          <w:rFonts w:hint="eastAsia"/>
        </w:rPr>
        <w:t>本文件由山东省退役军人事务厅提出并组织实施。</w:t>
      </w:r>
    </w:p>
    <w:p w14:paraId="7D191A0A">
      <w:pPr>
        <w:pStyle w:val="56"/>
        <w:ind w:firstLine="420"/>
      </w:pPr>
      <w:r>
        <w:rPr>
          <w:rFonts w:hint="eastAsia"/>
        </w:rPr>
        <w:t>本文件由山东省退役军人事务厅归口。</w:t>
      </w:r>
    </w:p>
    <w:p w14:paraId="2E8763B7">
      <w:pPr>
        <w:pStyle w:val="56"/>
        <w:ind w:firstLine="420"/>
      </w:pPr>
    </w:p>
    <w:p w14:paraId="75A43445">
      <w:pPr>
        <w:pStyle w:val="56"/>
        <w:ind w:firstLine="420"/>
      </w:pPr>
    </w:p>
    <w:p w14:paraId="6E4EE6D2">
      <w:pPr>
        <w:pStyle w:val="56"/>
        <w:ind w:firstLine="420"/>
      </w:pPr>
    </w:p>
    <w:p w14:paraId="59F88232">
      <w:pPr>
        <w:pStyle w:val="56"/>
        <w:ind w:firstLine="420"/>
        <w:sectPr>
          <w:pgSz w:w="11906" w:h="16838"/>
          <w:pgMar w:top="567" w:right="1134" w:bottom="1134" w:left="1134" w:header="1418" w:footer="1134" w:gutter="284"/>
          <w:pgNumType w:fmt="upperRoman"/>
          <w:cols w:space="425" w:num="1"/>
          <w:formProt w:val="0"/>
          <w:docGrid w:type="lines" w:linePitch="312" w:charSpace="0"/>
        </w:sectPr>
      </w:pPr>
    </w:p>
    <w:bookmarkEnd w:id="22"/>
    <w:p w14:paraId="42E06940">
      <w:pPr>
        <w:spacing w:line="20" w:lineRule="exact"/>
        <w:jc w:val="center"/>
        <w:rPr>
          <w:rFonts w:ascii="黑体" w:hAnsi="黑体" w:eastAsia="黑体"/>
          <w:sz w:val="32"/>
          <w:szCs w:val="32"/>
        </w:rPr>
      </w:pPr>
      <w:bookmarkStart w:id="23" w:name="BookMark4"/>
    </w:p>
    <w:p w14:paraId="117734DF">
      <w:pPr>
        <w:spacing w:line="20" w:lineRule="exact"/>
        <w:jc w:val="center"/>
        <w:rPr>
          <w:rFonts w:ascii="黑体" w:hAnsi="黑体" w:eastAsia="黑体"/>
          <w:sz w:val="32"/>
          <w:szCs w:val="32"/>
        </w:rPr>
      </w:pPr>
    </w:p>
    <w:sdt>
      <w:sdtPr>
        <w:tag w:val="NEW_STAND_NAME"/>
        <w:id w:val="595910757"/>
        <w:lock w:val="sdtLocked"/>
        <w:placeholder>
          <w:docPart w:val="021382BEB6334716A3C4C81BC1FFB301"/>
        </w:placeholder>
      </w:sdtPr>
      <w:sdtContent>
        <w:p w14:paraId="59BA502E">
          <w:pPr>
            <w:pStyle w:val="177"/>
            <w:spacing w:before="312" w:beforeLines="100" w:after="686" w:afterLines="220"/>
          </w:pPr>
          <w:bookmarkStart w:id="24" w:name="NEW_STAND_NAME"/>
          <w:r>
            <w:rPr>
              <w:rFonts w:hint="eastAsia"/>
            </w:rPr>
            <w:t>军队离休退休干部服务管理规范</w:t>
          </w:r>
        </w:p>
      </w:sdtContent>
    </w:sdt>
    <w:bookmarkEnd w:id="24"/>
    <w:p w14:paraId="75118992">
      <w:pPr>
        <w:pStyle w:val="104"/>
        <w:spacing w:before="312" w:after="312"/>
      </w:pPr>
      <w:bookmarkStart w:id="25" w:name="_Toc26986771"/>
      <w:bookmarkStart w:id="26" w:name="_Toc24884218"/>
      <w:bookmarkStart w:id="27" w:name="_Toc24884211"/>
      <w:bookmarkStart w:id="28" w:name="_Toc17233333"/>
      <w:bookmarkStart w:id="29" w:name="_Toc89938052"/>
      <w:bookmarkStart w:id="30" w:name="_Toc89940214"/>
      <w:bookmarkStart w:id="31" w:name="_Toc17233325"/>
      <w:bookmarkStart w:id="32" w:name="_Toc89957566"/>
      <w:bookmarkStart w:id="33" w:name="_Toc26986530"/>
      <w:bookmarkStart w:id="34" w:name="_Toc26718930"/>
      <w:bookmarkStart w:id="35" w:name="_Toc26648465"/>
      <w:r>
        <w:rPr>
          <w:rFonts w:hint="eastAsia"/>
        </w:rPr>
        <w:t>范围</w:t>
      </w:r>
      <w:bookmarkEnd w:id="25"/>
      <w:bookmarkEnd w:id="26"/>
      <w:bookmarkEnd w:id="27"/>
      <w:bookmarkEnd w:id="28"/>
      <w:bookmarkEnd w:id="29"/>
      <w:bookmarkEnd w:id="30"/>
      <w:bookmarkEnd w:id="31"/>
      <w:bookmarkEnd w:id="32"/>
      <w:bookmarkEnd w:id="33"/>
      <w:bookmarkEnd w:id="34"/>
      <w:bookmarkEnd w:id="35"/>
    </w:p>
    <w:p w14:paraId="773A6CD3">
      <w:pPr>
        <w:pStyle w:val="56"/>
        <w:ind w:firstLine="420"/>
      </w:pPr>
      <w:bookmarkStart w:id="36" w:name="_Toc17233334"/>
      <w:bookmarkStart w:id="37" w:name="_Toc17233326"/>
      <w:bookmarkStart w:id="38" w:name="_Toc24884219"/>
      <w:bookmarkStart w:id="39" w:name="_Toc24884212"/>
      <w:bookmarkStart w:id="40" w:name="_Toc26648466"/>
      <w:r>
        <w:rPr>
          <w:rFonts w:hint="eastAsia"/>
        </w:rPr>
        <w:t>本文件规定了山东省军队离休退休干部服务管理（以下简称“军休服务管理”）开展的基本条件、服务内容与要求、服务管理要求、评价与改进。</w:t>
      </w:r>
    </w:p>
    <w:p w14:paraId="662ABE8F">
      <w:pPr>
        <w:pStyle w:val="56"/>
        <w:ind w:firstLine="420"/>
      </w:pPr>
      <w:r>
        <w:rPr>
          <w:rFonts w:hint="eastAsia"/>
        </w:rPr>
        <w:t>本文件适用于移交政府安置的山东省军队离休退休干部、退休军（警）士（以下统称“军休干部”）的服务管理。</w:t>
      </w:r>
    </w:p>
    <w:p w14:paraId="068C2626">
      <w:pPr>
        <w:pStyle w:val="104"/>
        <w:spacing w:before="312" w:after="312"/>
      </w:pPr>
      <w:bookmarkStart w:id="41" w:name="_Toc89940215"/>
      <w:bookmarkStart w:id="42" w:name="_Toc89938053"/>
      <w:bookmarkStart w:id="43" w:name="_Toc89957567"/>
      <w:bookmarkStart w:id="44" w:name="_Toc26986531"/>
      <w:bookmarkStart w:id="45" w:name="_Toc26718931"/>
      <w:bookmarkStart w:id="46" w:name="_Toc26986772"/>
      <w:r>
        <w:rPr>
          <w:rFonts w:hint="eastAsia"/>
        </w:rPr>
        <w:t>规范性引用文件</w:t>
      </w:r>
      <w:bookmarkEnd w:id="36"/>
      <w:bookmarkEnd w:id="37"/>
      <w:bookmarkEnd w:id="38"/>
      <w:bookmarkEnd w:id="39"/>
      <w:bookmarkEnd w:id="40"/>
      <w:bookmarkEnd w:id="41"/>
      <w:bookmarkEnd w:id="42"/>
      <w:bookmarkEnd w:id="43"/>
      <w:bookmarkEnd w:id="44"/>
      <w:bookmarkEnd w:id="45"/>
      <w:bookmarkEnd w:id="46"/>
    </w:p>
    <w:sdt>
      <w:sdtPr>
        <w:rPr>
          <w:rFonts w:hint="eastAsia"/>
        </w:rPr>
        <w:id w:val="715848253"/>
        <w:placeholder>
          <w:docPart w:val="2210F4A9D9514149AC47FA0AB2C24B49"/>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41171FBC">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83E6F4E">
      <w:pPr>
        <w:pStyle w:val="56"/>
        <w:ind w:firstLine="420"/>
      </w:pPr>
      <w:r>
        <w:rPr>
          <w:rFonts w:hint="eastAsia"/>
        </w:rPr>
        <w:t>GB 2894  安全标志及其使用导则</w:t>
      </w:r>
    </w:p>
    <w:p w14:paraId="5D9B00D8">
      <w:pPr>
        <w:pStyle w:val="56"/>
        <w:ind w:firstLine="420"/>
      </w:pPr>
      <w:r>
        <w:rPr>
          <w:rFonts w:hint="eastAsia"/>
        </w:rPr>
        <w:t>GB/T 10001.1  公共信息图形符号　第1部分：通用符号</w:t>
      </w:r>
    </w:p>
    <w:p w14:paraId="5E697090">
      <w:pPr>
        <w:pStyle w:val="56"/>
        <w:ind w:firstLine="420"/>
      </w:pPr>
      <w:r>
        <w:rPr>
          <w:rFonts w:hint="eastAsia"/>
        </w:rPr>
        <w:t>GB/T 15566.1  公共信息导向系统　设置原则与要求　第1部分：总则</w:t>
      </w:r>
    </w:p>
    <w:p w14:paraId="7C474507">
      <w:pPr>
        <w:pStyle w:val="56"/>
        <w:ind w:firstLine="420"/>
      </w:pPr>
      <w:r>
        <w:rPr>
          <w:rFonts w:hint="eastAsia"/>
        </w:rPr>
        <w:t>GB 15630  消防安全标志设置要求</w:t>
      </w:r>
    </w:p>
    <w:p w14:paraId="1D4CBEF4">
      <w:pPr>
        <w:pStyle w:val="56"/>
        <w:ind w:firstLine="420"/>
      </w:pPr>
      <w:r>
        <w:rPr>
          <w:rFonts w:hint="eastAsia"/>
        </w:rPr>
        <w:t>GB/T 20269  信息安全技术　信息系统安全管理要求</w:t>
      </w:r>
    </w:p>
    <w:p w14:paraId="3784310C">
      <w:pPr>
        <w:pStyle w:val="56"/>
        <w:ind w:firstLine="420"/>
      </w:pPr>
      <w:r>
        <w:rPr>
          <w:rFonts w:hint="eastAsia"/>
        </w:rPr>
        <w:t>GB/T 20270  信息安全技术　网络基础安全技术要求</w:t>
      </w:r>
    </w:p>
    <w:p w14:paraId="1A107EEF">
      <w:pPr>
        <w:pStyle w:val="56"/>
        <w:ind w:firstLine="420"/>
      </w:pPr>
      <w:r>
        <w:rPr>
          <w:rFonts w:hint="eastAsia"/>
        </w:rPr>
        <w:t>GB/T 20271  信息安全技术　信息系统通用安全技术要求</w:t>
      </w:r>
    </w:p>
    <w:p w14:paraId="5554DF77">
      <w:pPr>
        <w:pStyle w:val="56"/>
        <w:ind w:firstLine="420"/>
      </w:pPr>
      <w:r>
        <w:rPr>
          <w:rFonts w:hint="eastAsia"/>
        </w:rPr>
        <w:t>GB 50016  建筑设计防火规范</w:t>
      </w:r>
    </w:p>
    <w:p w14:paraId="7DEFC615">
      <w:pPr>
        <w:pStyle w:val="56"/>
        <w:ind w:firstLine="420"/>
      </w:pPr>
      <w:r>
        <w:rPr>
          <w:rFonts w:hint="eastAsia"/>
        </w:rPr>
        <w:t>GB 50348  安全防范工程技术标准</w:t>
      </w:r>
    </w:p>
    <w:p w14:paraId="7BD47808">
      <w:pPr>
        <w:pStyle w:val="56"/>
        <w:ind w:firstLine="420"/>
      </w:pPr>
      <w:r>
        <w:rPr>
          <w:rFonts w:hint="eastAsia"/>
        </w:rPr>
        <w:t xml:space="preserve">GB 50763  无障碍设计规范 </w:t>
      </w:r>
    </w:p>
    <w:p w14:paraId="3021A2C3">
      <w:pPr>
        <w:pStyle w:val="56"/>
        <w:ind w:firstLine="420"/>
      </w:pPr>
      <w:r>
        <w:rPr>
          <w:rFonts w:hint="eastAsia"/>
        </w:rPr>
        <w:t>JGJ 450  老年人照料设施建筑设计标准</w:t>
      </w:r>
    </w:p>
    <w:p w14:paraId="7E364839">
      <w:pPr>
        <w:pStyle w:val="104"/>
        <w:spacing w:before="312" w:after="312"/>
      </w:pPr>
      <w:bookmarkStart w:id="47" w:name="_Toc89957568"/>
      <w:bookmarkStart w:id="48" w:name="_Toc89940216"/>
      <w:bookmarkStart w:id="49" w:name="_Toc89938054"/>
      <w:r>
        <w:rPr>
          <w:rFonts w:hint="eastAsia"/>
          <w:szCs w:val="21"/>
        </w:rPr>
        <w:t>术语和定义</w:t>
      </w:r>
      <w:bookmarkEnd w:id="47"/>
      <w:bookmarkEnd w:id="48"/>
      <w:bookmarkEnd w:id="49"/>
    </w:p>
    <w:sdt>
      <w:sdtPr>
        <w:id w:val="-1"/>
        <w:placeholder>
          <w:docPart w:val="B6C04ECD658C4D36A0E55EFDD044BECF"/>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16794F39">
          <w:pPr>
            <w:pStyle w:val="56"/>
            <w:ind w:firstLine="420"/>
          </w:pPr>
          <w:bookmarkStart w:id="50" w:name="_Toc26986532"/>
          <w:bookmarkEnd w:id="50"/>
          <w:r>
            <w:t>下列术语和定义适用于本文件。</w:t>
          </w:r>
        </w:p>
      </w:sdtContent>
    </w:sdt>
    <w:p w14:paraId="5C6225D8">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军队离休退休干部　retired military cadres</w:t>
      </w:r>
    </w:p>
    <w:p w14:paraId="70613576">
      <w:pPr>
        <w:pStyle w:val="56"/>
        <w:ind w:firstLine="420"/>
      </w:pPr>
      <w:r>
        <w:rPr>
          <w:rFonts w:hint="eastAsia"/>
        </w:rPr>
        <w:t>移交政府安置的由退役军人事务部门服务管理的中国人民解放军和中国人民武装警察部队离休退休干部、退休军（警）士。</w:t>
      </w:r>
    </w:p>
    <w:p w14:paraId="40BA98F3">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军休干部服务管理机构　service management institutions for retired military cadres</w:t>
      </w:r>
    </w:p>
    <w:p w14:paraId="467E6212">
      <w:pPr>
        <w:pStyle w:val="56"/>
        <w:ind w:firstLine="420"/>
      </w:pPr>
      <w:r>
        <w:rPr>
          <w:rFonts w:hint="eastAsia"/>
        </w:rPr>
        <w:t>经全省各级党委机构编制委员会办公室批准成立，服务和管理军休干部的专设机构，包括军休干部服务管理中心、服务处以及军休干部休养所、军休干部服务站等，承担军休干部服务管理具体工作。以下简称“军休机构”。</w:t>
      </w:r>
    </w:p>
    <w:p w14:paraId="28BDD0D3">
      <w:pPr>
        <w:pStyle w:val="104"/>
        <w:spacing w:before="312" w:after="312"/>
      </w:pPr>
      <w:bookmarkStart w:id="51" w:name="_Toc89957569"/>
      <w:bookmarkStart w:id="52" w:name="_Toc89940217"/>
      <w:r>
        <w:rPr>
          <w:rFonts w:hint="eastAsia"/>
        </w:rPr>
        <w:t>基本条件</w:t>
      </w:r>
      <w:bookmarkEnd w:id="51"/>
      <w:bookmarkEnd w:id="52"/>
    </w:p>
    <w:p w14:paraId="66A20DC3">
      <w:pPr>
        <w:pStyle w:val="105"/>
        <w:spacing w:before="156" w:after="156"/>
      </w:pPr>
      <w:bookmarkStart w:id="53" w:name="_Toc89940218"/>
      <w:bookmarkStart w:id="54" w:name="_Toc89957570"/>
      <w:r>
        <w:rPr>
          <w:rFonts w:hint="eastAsia"/>
        </w:rPr>
        <w:t>机构设置</w:t>
      </w:r>
      <w:bookmarkEnd w:id="53"/>
      <w:bookmarkEnd w:id="54"/>
    </w:p>
    <w:p w14:paraId="4EA9E400">
      <w:pPr>
        <w:pStyle w:val="165"/>
      </w:pPr>
      <w:r>
        <w:rPr>
          <w:rFonts w:hint="eastAsia"/>
        </w:rPr>
        <w:t>退役事务部门应根据安置管理工作需要，按照统筹规划、合理布局、精干高效、便于服务的原则设置、调整军休机构。</w:t>
      </w:r>
    </w:p>
    <w:p w14:paraId="703B7F9D">
      <w:pPr>
        <w:pStyle w:val="165"/>
      </w:pPr>
      <w:r>
        <w:rPr>
          <w:rFonts w:hint="eastAsia"/>
        </w:rPr>
        <w:t>军休机构应加强党组织建设，合理设置军休机构党组织和军休干部党组织。</w:t>
      </w:r>
    </w:p>
    <w:p w14:paraId="556D6F5E">
      <w:pPr>
        <w:pStyle w:val="165"/>
      </w:pPr>
      <w:r>
        <w:rPr>
          <w:rFonts w:hint="eastAsia"/>
        </w:rPr>
        <w:t>根据军休服务管理工作的实际需要设立下属机构或站点，具体包括：</w:t>
      </w:r>
    </w:p>
    <w:p w14:paraId="6A9727D4">
      <w:pPr>
        <w:pStyle w:val="174"/>
      </w:pPr>
      <w:r>
        <w:rPr>
          <w:rFonts w:hint="eastAsia"/>
        </w:rPr>
        <w:t>根据工作需要和军休干部人数，合理设置军休服务管理中心；</w:t>
      </w:r>
    </w:p>
    <w:p w14:paraId="07B55E21">
      <w:pPr>
        <w:pStyle w:val="174"/>
      </w:pPr>
      <w:r>
        <w:rPr>
          <w:rFonts w:hint="eastAsia"/>
        </w:rPr>
        <w:t>距军休机构5</w:t>
      </w:r>
      <w:r>
        <w:t> </w:t>
      </w:r>
      <w:r>
        <w:rPr>
          <w:rFonts w:hint="eastAsia"/>
        </w:rPr>
        <w:t>km以上、分散安置军休干部超过20人的地点，或驻军部队集中建设的经济适用房小区，设立军休服务管理站（活动中心或服务点）；</w:t>
      </w:r>
    </w:p>
    <w:p w14:paraId="486F1432">
      <w:pPr>
        <w:pStyle w:val="174"/>
      </w:pPr>
      <w:r>
        <w:rPr>
          <w:rFonts w:hint="eastAsia"/>
        </w:rPr>
        <w:t>与当地社区、企事业单位采取资源共享的方式设军休干部服务站（点）。</w:t>
      </w:r>
    </w:p>
    <w:p w14:paraId="7D04E387">
      <w:pPr>
        <w:pStyle w:val="165"/>
      </w:pPr>
      <w:r>
        <w:rPr>
          <w:rFonts w:hint="eastAsia"/>
        </w:rPr>
        <w:t>军休机构应具备以下有效执业证明：</w:t>
      </w:r>
    </w:p>
    <w:p w14:paraId="3943CE80">
      <w:pPr>
        <w:pStyle w:val="174"/>
        <w:numPr>
          <w:ilvl w:val="0"/>
          <w:numId w:val="32"/>
        </w:numPr>
      </w:pPr>
      <w:r>
        <w:rPr>
          <w:rFonts w:hint="eastAsia"/>
        </w:rPr>
        <w:t>具有《事业单位法人证书》；</w:t>
      </w:r>
    </w:p>
    <w:p w14:paraId="5638312F">
      <w:pPr>
        <w:pStyle w:val="174"/>
      </w:pPr>
      <w:r>
        <w:rPr>
          <w:rFonts w:hint="eastAsia"/>
        </w:rPr>
        <w:t>具有消防安全合格证明；</w:t>
      </w:r>
    </w:p>
    <w:p w14:paraId="4535143F">
      <w:pPr>
        <w:pStyle w:val="174"/>
      </w:pPr>
      <w:r>
        <w:rPr>
          <w:rFonts w:hint="eastAsia"/>
        </w:rPr>
        <w:t>具有房产证明或租赁使用证明；</w:t>
      </w:r>
    </w:p>
    <w:p w14:paraId="0D1F0347">
      <w:pPr>
        <w:pStyle w:val="174"/>
      </w:pPr>
      <w:r>
        <w:rPr>
          <w:rFonts w:hint="eastAsia"/>
        </w:rPr>
        <w:t>军休机构内设的餐饮服务机构具有食品经营许可证；</w:t>
      </w:r>
    </w:p>
    <w:p w14:paraId="4AC0FFB1">
      <w:pPr>
        <w:pStyle w:val="174"/>
      </w:pPr>
      <w:r>
        <w:rPr>
          <w:rFonts w:hint="eastAsia"/>
        </w:rPr>
        <w:t>军休机构内设的医疗机构具有医疗机构执业许可证或医疗机构执业备案证明；</w:t>
      </w:r>
    </w:p>
    <w:p w14:paraId="52308429">
      <w:pPr>
        <w:pStyle w:val="174"/>
      </w:pPr>
      <w:r>
        <w:rPr>
          <w:rFonts w:hint="eastAsia"/>
        </w:rPr>
        <w:t>军休机构所使用的特种设备，具有特种设备使用登记证；</w:t>
      </w:r>
    </w:p>
    <w:p w14:paraId="5F3B264F">
      <w:pPr>
        <w:pStyle w:val="174"/>
      </w:pPr>
      <w:r>
        <w:rPr>
          <w:rFonts w:hint="eastAsia"/>
        </w:rPr>
        <w:t>军休机构提供其他须经许可的服务，具有相应资质。</w:t>
      </w:r>
    </w:p>
    <w:p w14:paraId="03C96D1C">
      <w:pPr>
        <w:pStyle w:val="105"/>
        <w:spacing w:before="156" w:after="156"/>
      </w:pPr>
      <w:bookmarkStart w:id="55" w:name="_Toc89940219"/>
      <w:bookmarkStart w:id="56" w:name="_Toc89957571"/>
      <w:r>
        <w:rPr>
          <w:rFonts w:hint="eastAsia"/>
        </w:rPr>
        <w:t>场地要求</w:t>
      </w:r>
      <w:bookmarkEnd w:id="55"/>
      <w:bookmarkEnd w:id="56"/>
    </w:p>
    <w:p w14:paraId="012484DA">
      <w:pPr>
        <w:pStyle w:val="165"/>
      </w:pPr>
      <w:r>
        <w:rPr>
          <w:rFonts w:hint="eastAsia"/>
        </w:rPr>
        <w:t>军休机构宜建在军休干部居住相对集中的区域或生活、医疗、交通便利的位置。</w:t>
      </w:r>
    </w:p>
    <w:p w14:paraId="78D400B1">
      <w:pPr>
        <w:pStyle w:val="165"/>
      </w:pPr>
      <w:r>
        <w:rPr>
          <w:rFonts w:hint="eastAsia"/>
        </w:rPr>
        <w:t>军休机构的设置应符合以下条件：</w:t>
      </w:r>
    </w:p>
    <w:p w14:paraId="6797A9F7">
      <w:pPr>
        <w:pStyle w:val="174"/>
        <w:numPr>
          <w:ilvl w:val="0"/>
          <w:numId w:val="33"/>
        </w:numPr>
      </w:pPr>
      <w:r>
        <w:rPr>
          <w:rFonts w:hint="eastAsia"/>
        </w:rPr>
        <w:t>军休干部人数达到500人及以上的，人均建筑面积不少于6</w:t>
      </w:r>
      <w:r>
        <w:t> </w:t>
      </w:r>
      <w:r>
        <w:rPr>
          <w:rFonts w:hint="eastAsia"/>
        </w:rPr>
        <w:t>m</w:t>
      </w:r>
      <w:r>
        <w:rPr>
          <w:rFonts w:hint="eastAsia"/>
          <w:vertAlign w:val="superscript"/>
        </w:rPr>
        <w:t>2</w:t>
      </w:r>
      <w:r>
        <w:rPr>
          <w:rFonts w:hint="eastAsia"/>
        </w:rPr>
        <w:t>；</w:t>
      </w:r>
    </w:p>
    <w:p w14:paraId="2B125FD9">
      <w:pPr>
        <w:pStyle w:val="174"/>
      </w:pPr>
      <w:r>
        <w:rPr>
          <w:rFonts w:hint="eastAsia"/>
        </w:rPr>
        <w:t>军休干部人数少于500人的，人均建筑面积不少于10</w:t>
      </w:r>
      <w:r>
        <w:t> </w:t>
      </w:r>
      <w:r>
        <w:rPr>
          <w:rFonts w:hint="eastAsia"/>
        </w:rPr>
        <w:t>m</w:t>
      </w:r>
      <w:r>
        <w:rPr>
          <w:rFonts w:hint="eastAsia"/>
          <w:vertAlign w:val="superscript"/>
        </w:rPr>
        <w:t>2</w:t>
      </w:r>
      <w:r>
        <w:rPr>
          <w:rFonts w:hint="eastAsia"/>
        </w:rPr>
        <w:t>；</w:t>
      </w:r>
    </w:p>
    <w:p w14:paraId="33204AD2">
      <w:pPr>
        <w:pStyle w:val="174"/>
      </w:pPr>
      <w:r>
        <w:rPr>
          <w:rFonts w:hint="eastAsia"/>
        </w:rPr>
        <w:t>自行设立的服务管理站（活动中心或服务点）建筑面积应达到200</w:t>
      </w:r>
      <w:r>
        <w:t> m</w:t>
      </w:r>
      <w:r>
        <w:rPr>
          <w:vertAlign w:val="superscript"/>
        </w:rPr>
        <w:t>2</w:t>
      </w:r>
      <w:r>
        <w:rPr>
          <w:rFonts w:hint="eastAsia"/>
        </w:rPr>
        <w:t>～600</w:t>
      </w:r>
      <w:r>
        <w:t> m</w:t>
      </w:r>
      <w:r>
        <w:rPr>
          <w:vertAlign w:val="superscript"/>
        </w:rPr>
        <w:t>2</w:t>
      </w:r>
      <w:r>
        <w:rPr>
          <w:rFonts w:hint="eastAsia"/>
        </w:rPr>
        <w:t>。</w:t>
      </w:r>
    </w:p>
    <w:p w14:paraId="023CA321">
      <w:pPr>
        <w:pStyle w:val="165"/>
      </w:pPr>
      <w:r>
        <w:rPr>
          <w:rFonts w:hint="eastAsia"/>
        </w:rPr>
        <w:t>场地在消防和安防设计上应分别符合GB 50016和GB 50348的要求，并达到国家和省内建筑节能、环保和安全的有关标准和要求。</w:t>
      </w:r>
    </w:p>
    <w:p w14:paraId="5ED55AAC">
      <w:pPr>
        <w:pStyle w:val="165"/>
      </w:pPr>
      <w:r>
        <w:rPr>
          <w:rFonts w:hint="eastAsia"/>
        </w:rPr>
        <w:t>总体布局、绿化等应符合国家相关规定，保持环境舒适、安全、整洁、安静。</w:t>
      </w:r>
    </w:p>
    <w:p w14:paraId="11EBA874">
      <w:pPr>
        <w:pStyle w:val="165"/>
      </w:pPr>
      <w:r>
        <w:rPr>
          <w:rFonts w:hint="eastAsia"/>
        </w:rPr>
        <w:t>机构用房由安置地政府统一规划建设，可采取改建、扩建、新建、购置等方式，房屋面积不低于军休干部购房补贴建筑面积标准的10</w:t>
      </w:r>
      <w:r>
        <w:t> </w:t>
      </w:r>
      <w:r>
        <w:rPr>
          <w:rFonts w:hint="eastAsia"/>
        </w:rPr>
        <w:t xml:space="preserve">%。 </w:t>
      </w:r>
    </w:p>
    <w:p w14:paraId="38C9B733">
      <w:pPr>
        <w:pStyle w:val="165"/>
      </w:pPr>
      <w:r>
        <w:rPr>
          <w:rFonts w:hint="eastAsia"/>
        </w:rPr>
        <w:t>机构用房应根据工作需要，建立活动室、阅览室、荣誉室、档案室、会议室、工作人员办公室等服务办公场所和必要的室外活动场地，配齐设备器材和日常用品，设置醒目标识和引导标志。</w:t>
      </w:r>
    </w:p>
    <w:p w14:paraId="0F0FDA34">
      <w:pPr>
        <w:pStyle w:val="165"/>
      </w:pPr>
      <w:r>
        <w:rPr>
          <w:rFonts w:hint="eastAsia"/>
        </w:rPr>
        <w:t>服务管理工作人员办公用房按照有关规定和当地编制部门批准的机构人员编制进行安排。</w:t>
      </w:r>
    </w:p>
    <w:p w14:paraId="5AB5EB47">
      <w:pPr>
        <w:pStyle w:val="165"/>
      </w:pPr>
      <w:r>
        <w:rPr>
          <w:rFonts w:hint="eastAsia"/>
        </w:rPr>
        <w:t>军休干部人数达到50人及以上的，部分活动用房配备及建筑面积可参考表1的标准，有条件的可设置老年教室、社工室，协调卫健部门引进社区卫生机构或等级医院设立医疗点；军休干部人数少于50人的，活动场所的建筑面积按实际需求设置。</w:t>
      </w:r>
    </w:p>
    <w:p w14:paraId="15C2E070">
      <w:pPr>
        <w:pStyle w:val="112"/>
        <w:spacing w:before="156" w:after="156"/>
      </w:pPr>
      <w:r>
        <w:rPr>
          <w:rFonts w:hint="eastAsia"/>
        </w:rPr>
        <w:t>部分活动场所建筑面积标准</w:t>
      </w:r>
    </w:p>
    <w:p w14:paraId="75424862">
      <w:pPr>
        <w:pStyle w:val="56"/>
        <w:ind w:firstLine="360"/>
        <w:jc w:val="right"/>
        <w:rPr>
          <w:sz w:val="18"/>
          <w:szCs w:val="18"/>
        </w:rPr>
      </w:pPr>
      <w:r>
        <w:rPr>
          <w:rFonts w:hint="eastAsia"/>
          <w:sz w:val="18"/>
          <w:szCs w:val="18"/>
        </w:rPr>
        <w:t>单位为平方米</w:t>
      </w:r>
    </w:p>
    <w:tbl>
      <w:tblPr>
        <w:tblStyle w:val="26"/>
        <w:tblW w:w="92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36"/>
        <w:gridCol w:w="3048"/>
        <w:gridCol w:w="1629"/>
        <w:gridCol w:w="1652"/>
        <w:gridCol w:w="1525"/>
      </w:tblGrid>
      <w:tr w14:paraId="01951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1436" w:type="dxa"/>
            <w:vMerge w:val="restart"/>
            <w:tcBorders>
              <w:top w:val="single" w:color="000000" w:sz="4" w:space="0"/>
              <w:left w:val="single" w:color="000000" w:sz="4" w:space="0"/>
              <w:bottom w:val="single" w:color="000000" w:sz="4" w:space="0"/>
              <w:right w:val="single" w:color="000000" w:sz="4" w:space="0"/>
            </w:tcBorders>
            <w:vAlign w:val="center"/>
          </w:tcPr>
          <w:p w14:paraId="5ED49152">
            <w:pPr>
              <w:spacing w:line="240" w:lineRule="auto"/>
              <w:jc w:val="center"/>
              <w:rPr>
                <w:rFonts w:ascii="宋体" w:hAnsi="宋体"/>
                <w:sz w:val="18"/>
                <w:szCs w:val="18"/>
              </w:rPr>
            </w:pPr>
            <w:r>
              <w:rPr>
                <w:rFonts w:ascii="宋体" w:hAnsi="宋体"/>
                <w:sz w:val="18"/>
                <w:szCs w:val="18"/>
              </w:rPr>
              <w:t>序号</w:t>
            </w:r>
          </w:p>
        </w:tc>
        <w:tc>
          <w:tcPr>
            <w:tcW w:w="3048" w:type="dxa"/>
            <w:vMerge w:val="restart"/>
            <w:tcBorders>
              <w:top w:val="single" w:color="000000" w:sz="4" w:space="0"/>
              <w:left w:val="nil"/>
              <w:bottom w:val="single" w:color="000000" w:sz="4" w:space="0"/>
              <w:right w:val="single" w:color="000000" w:sz="4" w:space="0"/>
            </w:tcBorders>
            <w:vAlign w:val="center"/>
          </w:tcPr>
          <w:p w14:paraId="129329FB">
            <w:pPr>
              <w:spacing w:line="240" w:lineRule="auto"/>
              <w:jc w:val="center"/>
              <w:rPr>
                <w:rFonts w:ascii="宋体" w:hAnsi="宋体"/>
                <w:sz w:val="18"/>
                <w:szCs w:val="18"/>
              </w:rPr>
            </w:pPr>
            <w:r>
              <w:rPr>
                <w:rFonts w:ascii="宋体" w:hAnsi="宋体"/>
                <w:sz w:val="18"/>
                <w:szCs w:val="18"/>
              </w:rPr>
              <w:t>名称</w:t>
            </w:r>
          </w:p>
        </w:tc>
        <w:tc>
          <w:tcPr>
            <w:tcW w:w="4806" w:type="dxa"/>
            <w:gridSpan w:val="3"/>
            <w:tcBorders>
              <w:top w:val="single" w:color="000000" w:sz="4" w:space="0"/>
              <w:left w:val="nil"/>
              <w:bottom w:val="single" w:color="000000" w:sz="4" w:space="0"/>
              <w:right w:val="single" w:color="000000" w:sz="4" w:space="0"/>
            </w:tcBorders>
            <w:vAlign w:val="center"/>
          </w:tcPr>
          <w:p w14:paraId="0D17DAC7">
            <w:pPr>
              <w:spacing w:line="240" w:lineRule="auto"/>
              <w:jc w:val="center"/>
              <w:rPr>
                <w:rFonts w:ascii="宋体" w:hAnsi="宋体"/>
                <w:sz w:val="18"/>
                <w:szCs w:val="18"/>
              </w:rPr>
            </w:pPr>
            <w:r>
              <w:rPr>
                <w:rFonts w:ascii="宋体" w:hAnsi="宋体"/>
                <w:sz w:val="18"/>
                <w:szCs w:val="18"/>
              </w:rPr>
              <w:t>面积标准下限值</w:t>
            </w:r>
            <w:r>
              <w:rPr>
                <w:rFonts w:hint="eastAsia" w:ascii="宋体" w:hAnsi="宋体"/>
                <w:sz w:val="18"/>
                <w:szCs w:val="18"/>
              </w:rPr>
              <w:t xml:space="preserve"> </w:t>
            </w:r>
          </w:p>
        </w:tc>
      </w:tr>
      <w:tr w14:paraId="4DF5D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1436" w:type="dxa"/>
            <w:vMerge w:val="continue"/>
            <w:tcBorders>
              <w:top w:val="single" w:color="000000" w:sz="4" w:space="0"/>
              <w:left w:val="single" w:color="000000" w:sz="4" w:space="0"/>
              <w:bottom w:val="single" w:color="000000" w:sz="4" w:space="0"/>
              <w:right w:val="single" w:color="000000" w:sz="4" w:space="0"/>
            </w:tcBorders>
            <w:vAlign w:val="center"/>
          </w:tcPr>
          <w:p w14:paraId="40A7EC77">
            <w:pPr>
              <w:spacing w:line="240" w:lineRule="auto"/>
              <w:jc w:val="center"/>
              <w:rPr>
                <w:rFonts w:ascii="宋体" w:hAnsi="宋体"/>
                <w:sz w:val="18"/>
                <w:szCs w:val="18"/>
              </w:rPr>
            </w:pPr>
          </w:p>
        </w:tc>
        <w:tc>
          <w:tcPr>
            <w:tcW w:w="3048" w:type="dxa"/>
            <w:vMerge w:val="continue"/>
            <w:tcBorders>
              <w:top w:val="single" w:color="000000" w:sz="4" w:space="0"/>
              <w:left w:val="nil"/>
              <w:bottom w:val="single" w:color="000000" w:sz="4" w:space="0"/>
              <w:right w:val="single" w:color="000000" w:sz="4" w:space="0"/>
            </w:tcBorders>
            <w:vAlign w:val="center"/>
          </w:tcPr>
          <w:p w14:paraId="5BAB617F">
            <w:pPr>
              <w:spacing w:line="240" w:lineRule="auto"/>
              <w:jc w:val="center"/>
              <w:rPr>
                <w:rFonts w:ascii="宋体" w:hAnsi="宋体"/>
                <w:sz w:val="18"/>
                <w:szCs w:val="18"/>
              </w:rPr>
            </w:pPr>
          </w:p>
        </w:tc>
        <w:tc>
          <w:tcPr>
            <w:tcW w:w="1629" w:type="dxa"/>
            <w:tcBorders>
              <w:top w:val="single" w:color="000000" w:sz="4" w:space="0"/>
              <w:left w:val="nil"/>
              <w:bottom w:val="single" w:color="000000" w:sz="4" w:space="0"/>
              <w:right w:val="single" w:color="000000" w:sz="4" w:space="0"/>
            </w:tcBorders>
            <w:vAlign w:val="center"/>
          </w:tcPr>
          <w:p w14:paraId="0C23920D">
            <w:pPr>
              <w:spacing w:line="240" w:lineRule="auto"/>
              <w:jc w:val="center"/>
              <w:rPr>
                <w:rFonts w:ascii="宋体" w:hAnsi="宋体"/>
                <w:sz w:val="18"/>
                <w:szCs w:val="18"/>
              </w:rPr>
            </w:pPr>
            <w:r>
              <w:rPr>
                <w:rFonts w:hint="eastAsia" w:ascii="宋体" w:hAnsi="宋体"/>
                <w:sz w:val="18"/>
                <w:szCs w:val="18"/>
              </w:rPr>
              <w:t>（</w:t>
            </w:r>
            <w:r>
              <w:rPr>
                <w:rFonts w:ascii="宋体" w:hAnsi="宋体"/>
                <w:sz w:val="18"/>
                <w:szCs w:val="18"/>
              </w:rPr>
              <w:t>50</w:t>
            </w:r>
            <w:r>
              <w:rPr>
                <w:rFonts w:hint="eastAsia" w:ascii="宋体" w:hAnsi="宋体"/>
                <w:sz w:val="18"/>
                <w:szCs w:val="18"/>
              </w:rPr>
              <w:t>～</w:t>
            </w:r>
            <w:r>
              <w:rPr>
                <w:rFonts w:ascii="宋体" w:hAnsi="宋体"/>
                <w:sz w:val="18"/>
                <w:szCs w:val="18"/>
              </w:rPr>
              <w:t>100</w:t>
            </w:r>
            <w:r>
              <w:rPr>
                <w:rFonts w:hint="eastAsia" w:ascii="宋体" w:hAnsi="宋体"/>
                <w:sz w:val="18"/>
                <w:szCs w:val="18"/>
              </w:rPr>
              <w:t>）</w:t>
            </w:r>
            <w:r>
              <w:rPr>
                <w:rFonts w:ascii="宋体" w:hAnsi="宋体"/>
                <w:sz w:val="18"/>
                <w:szCs w:val="18"/>
              </w:rPr>
              <w:t>人</w:t>
            </w:r>
          </w:p>
        </w:tc>
        <w:tc>
          <w:tcPr>
            <w:tcW w:w="1652" w:type="dxa"/>
            <w:tcBorders>
              <w:top w:val="single" w:color="000000" w:sz="4" w:space="0"/>
              <w:left w:val="nil"/>
              <w:bottom w:val="single" w:color="000000" w:sz="4" w:space="0"/>
              <w:right w:val="single" w:color="000000" w:sz="4" w:space="0"/>
            </w:tcBorders>
            <w:vAlign w:val="center"/>
          </w:tcPr>
          <w:p w14:paraId="1E5BCD56">
            <w:pPr>
              <w:spacing w:line="240" w:lineRule="auto"/>
              <w:jc w:val="center"/>
              <w:rPr>
                <w:rFonts w:ascii="宋体" w:hAnsi="宋体"/>
                <w:sz w:val="18"/>
                <w:szCs w:val="18"/>
              </w:rPr>
            </w:pPr>
            <w:r>
              <w:rPr>
                <w:rFonts w:hint="eastAsia" w:ascii="宋体" w:hAnsi="宋体"/>
                <w:sz w:val="18"/>
                <w:szCs w:val="18"/>
              </w:rPr>
              <w:t>（</w:t>
            </w:r>
            <w:r>
              <w:rPr>
                <w:rFonts w:ascii="宋体" w:hAnsi="宋体"/>
                <w:sz w:val="18"/>
                <w:szCs w:val="18"/>
              </w:rPr>
              <w:t>101</w:t>
            </w:r>
            <w:r>
              <w:rPr>
                <w:rFonts w:hint="eastAsia" w:ascii="宋体" w:hAnsi="宋体"/>
                <w:sz w:val="18"/>
                <w:szCs w:val="18"/>
              </w:rPr>
              <w:t>～</w:t>
            </w:r>
            <w:r>
              <w:rPr>
                <w:rFonts w:ascii="宋体" w:hAnsi="宋体"/>
                <w:sz w:val="18"/>
                <w:szCs w:val="18"/>
              </w:rPr>
              <w:t>300</w:t>
            </w:r>
            <w:r>
              <w:rPr>
                <w:rFonts w:hint="eastAsia" w:ascii="宋体" w:hAnsi="宋体"/>
                <w:sz w:val="18"/>
                <w:szCs w:val="18"/>
              </w:rPr>
              <w:t>）</w:t>
            </w:r>
            <w:r>
              <w:rPr>
                <w:rFonts w:ascii="宋体" w:hAnsi="宋体"/>
                <w:sz w:val="18"/>
                <w:szCs w:val="18"/>
              </w:rPr>
              <w:t>人</w:t>
            </w:r>
          </w:p>
        </w:tc>
        <w:tc>
          <w:tcPr>
            <w:tcW w:w="1525" w:type="dxa"/>
            <w:tcBorders>
              <w:top w:val="single" w:color="000000" w:sz="4" w:space="0"/>
              <w:left w:val="nil"/>
              <w:bottom w:val="single" w:color="000000" w:sz="4" w:space="0"/>
              <w:right w:val="single" w:color="000000" w:sz="4" w:space="0"/>
            </w:tcBorders>
            <w:vAlign w:val="center"/>
          </w:tcPr>
          <w:p w14:paraId="64F723FC">
            <w:pPr>
              <w:spacing w:line="240" w:lineRule="auto"/>
              <w:jc w:val="center"/>
              <w:rPr>
                <w:rFonts w:ascii="宋体" w:hAnsi="宋体"/>
                <w:sz w:val="18"/>
                <w:szCs w:val="18"/>
              </w:rPr>
            </w:pPr>
            <w:r>
              <w:rPr>
                <w:rFonts w:ascii="宋体" w:hAnsi="宋体"/>
                <w:sz w:val="18"/>
                <w:szCs w:val="18"/>
              </w:rPr>
              <w:t>301人以上</w:t>
            </w:r>
          </w:p>
        </w:tc>
      </w:tr>
      <w:tr w14:paraId="10F0F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1436" w:type="dxa"/>
            <w:tcBorders>
              <w:top w:val="single" w:color="000000" w:sz="4" w:space="0"/>
              <w:left w:val="single" w:color="000000" w:sz="4" w:space="0"/>
              <w:bottom w:val="single" w:color="000000" w:sz="4" w:space="0"/>
              <w:right w:val="single" w:color="000000" w:sz="4" w:space="0"/>
            </w:tcBorders>
            <w:vAlign w:val="center"/>
          </w:tcPr>
          <w:p w14:paraId="749DA870">
            <w:pPr>
              <w:spacing w:line="240" w:lineRule="auto"/>
              <w:jc w:val="center"/>
              <w:rPr>
                <w:rFonts w:ascii="宋体" w:hAnsi="宋体"/>
                <w:sz w:val="18"/>
                <w:szCs w:val="18"/>
              </w:rPr>
            </w:pPr>
            <w:r>
              <w:rPr>
                <w:rFonts w:hint="eastAsia" w:ascii="宋体" w:hAnsi="宋体"/>
                <w:sz w:val="18"/>
                <w:szCs w:val="18"/>
              </w:rPr>
              <w:t>1</w:t>
            </w:r>
          </w:p>
        </w:tc>
        <w:tc>
          <w:tcPr>
            <w:tcW w:w="3048" w:type="dxa"/>
            <w:tcBorders>
              <w:top w:val="single" w:color="000000" w:sz="4" w:space="0"/>
              <w:left w:val="nil"/>
              <w:bottom w:val="single" w:color="000000" w:sz="4" w:space="0"/>
              <w:right w:val="single" w:color="000000" w:sz="4" w:space="0"/>
            </w:tcBorders>
            <w:vAlign w:val="center"/>
          </w:tcPr>
          <w:p w14:paraId="306EA055">
            <w:pPr>
              <w:spacing w:line="240" w:lineRule="auto"/>
              <w:jc w:val="center"/>
              <w:rPr>
                <w:rFonts w:ascii="宋体" w:hAnsi="宋体"/>
                <w:sz w:val="18"/>
                <w:szCs w:val="18"/>
              </w:rPr>
            </w:pPr>
            <w:r>
              <w:rPr>
                <w:rFonts w:ascii="宋体" w:hAnsi="宋体"/>
                <w:sz w:val="18"/>
                <w:szCs w:val="18"/>
              </w:rPr>
              <w:t>活动室</w:t>
            </w:r>
          </w:p>
        </w:tc>
        <w:tc>
          <w:tcPr>
            <w:tcW w:w="1629" w:type="dxa"/>
            <w:tcBorders>
              <w:top w:val="single" w:color="000000" w:sz="4" w:space="0"/>
              <w:left w:val="nil"/>
              <w:bottom w:val="single" w:color="000000" w:sz="4" w:space="0"/>
              <w:right w:val="single" w:color="000000" w:sz="4" w:space="0"/>
            </w:tcBorders>
            <w:vAlign w:val="center"/>
          </w:tcPr>
          <w:p w14:paraId="728E449F">
            <w:pPr>
              <w:spacing w:line="240" w:lineRule="auto"/>
              <w:jc w:val="center"/>
              <w:rPr>
                <w:rFonts w:ascii="宋体" w:hAnsi="宋体"/>
                <w:sz w:val="18"/>
                <w:szCs w:val="18"/>
              </w:rPr>
            </w:pPr>
            <w:r>
              <w:rPr>
                <w:rFonts w:ascii="宋体" w:hAnsi="宋体"/>
                <w:sz w:val="18"/>
                <w:szCs w:val="18"/>
              </w:rPr>
              <w:t>72</w:t>
            </w:r>
          </w:p>
        </w:tc>
        <w:tc>
          <w:tcPr>
            <w:tcW w:w="1652" w:type="dxa"/>
            <w:tcBorders>
              <w:top w:val="single" w:color="000000" w:sz="4" w:space="0"/>
              <w:left w:val="nil"/>
              <w:bottom w:val="single" w:color="000000" w:sz="4" w:space="0"/>
              <w:right w:val="single" w:color="000000" w:sz="4" w:space="0"/>
            </w:tcBorders>
            <w:vAlign w:val="center"/>
          </w:tcPr>
          <w:p w14:paraId="24A98C2C">
            <w:pPr>
              <w:spacing w:line="240" w:lineRule="auto"/>
              <w:jc w:val="center"/>
              <w:rPr>
                <w:rFonts w:ascii="宋体" w:hAnsi="宋体"/>
                <w:sz w:val="18"/>
                <w:szCs w:val="18"/>
              </w:rPr>
            </w:pPr>
            <w:r>
              <w:rPr>
                <w:rFonts w:ascii="宋体" w:hAnsi="宋体"/>
                <w:sz w:val="18"/>
                <w:szCs w:val="18"/>
              </w:rPr>
              <w:t>120</w:t>
            </w:r>
          </w:p>
        </w:tc>
        <w:tc>
          <w:tcPr>
            <w:tcW w:w="1525" w:type="dxa"/>
            <w:tcBorders>
              <w:top w:val="single" w:color="000000" w:sz="4" w:space="0"/>
              <w:left w:val="nil"/>
              <w:bottom w:val="single" w:color="000000" w:sz="4" w:space="0"/>
              <w:right w:val="single" w:color="000000" w:sz="4" w:space="0"/>
            </w:tcBorders>
            <w:vAlign w:val="center"/>
          </w:tcPr>
          <w:p w14:paraId="4E5E821E">
            <w:pPr>
              <w:spacing w:line="240" w:lineRule="auto"/>
              <w:jc w:val="center"/>
              <w:rPr>
                <w:rFonts w:ascii="宋体" w:hAnsi="宋体"/>
                <w:sz w:val="18"/>
                <w:szCs w:val="18"/>
              </w:rPr>
            </w:pPr>
            <w:r>
              <w:rPr>
                <w:rFonts w:ascii="宋体" w:hAnsi="宋体"/>
                <w:sz w:val="18"/>
                <w:szCs w:val="18"/>
              </w:rPr>
              <w:t>156</w:t>
            </w:r>
          </w:p>
        </w:tc>
      </w:tr>
      <w:tr w14:paraId="3E229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1436" w:type="dxa"/>
            <w:tcBorders>
              <w:top w:val="single" w:color="000000" w:sz="4" w:space="0"/>
              <w:left w:val="single" w:color="000000" w:sz="4" w:space="0"/>
              <w:bottom w:val="single" w:color="000000" w:sz="4" w:space="0"/>
              <w:right w:val="single" w:color="000000" w:sz="4" w:space="0"/>
            </w:tcBorders>
            <w:vAlign w:val="center"/>
          </w:tcPr>
          <w:p w14:paraId="3A11B268">
            <w:pPr>
              <w:spacing w:line="240" w:lineRule="auto"/>
              <w:jc w:val="center"/>
              <w:rPr>
                <w:rFonts w:ascii="宋体" w:hAnsi="宋体"/>
                <w:sz w:val="18"/>
                <w:szCs w:val="18"/>
              </w:rPr>
            </w:pPr>
            <w:r>
              <w:rPr>
                <w:rFonts w:hint="eastAsia" w:ascii="宋体" w:hAnsi="宋体"/>
                <w:sz w:val="18"/>
                <w:szCs w:val="18"/>
              </w:rPr>
              <w:t>2</w:t>
            </w:r>
          </w:p>
        </w:tc>
        <w:tc>
          <w:tcPr>
            <w:tcW w:w="3048" w:type="dxa"/>
            <w:tcBorders>
              <w:top w:val="single" w:color="000000" w:sz="4" w:space="0"/>
              <w:left w:val="nil"/>
              <w:bottom w:val="single" w:color="000000" w:sz="4" w:space="0"/>
              <w:right w:val="single" w:color="000000" w:sz="4" w:space="0"/>
            </w:tcBorders>
            <w:vAlign w:val="center"/>
          </w:tcPr>
          <w:p w14:paraId="0DC7AB1B">
            <w:pPr>
              <w:spacing w:line="240" w:lineRule="auto"/>
              <w:jc w:val="center"/>
              <w:rPr>
                <w:rFonts w:ascii="宋体" w:hAnsi="宋体"/>
                <w:sz w:val="18"/>
                <w:szCs w:val="18"/>
              </w:rPr>
            </w:pPr>
            <w:r>
              <w:rPr>
                <w:rFonts w:ascii="宋体" w:hAnsi="宋体"/>
                <w:sz w:val="18"/>
                <w:szCs w:val="18"/>
              </w:rPr>
              <w:t>书画室</w:t>
            </w:r>
          </w:p>
        </w:tc>
        <w:tc>
          <w:tcPr>
            <w:tcW w:w="1629" w:type="dxa"/>
            <w:tcBorders>
              <w:top w:val="single" w:color="000000" w:sz="4" w:space="0"/>
              <w:left w:val="nil"/>
              <w:bottom w:val="single" w:color="000000" w:sz="4" w:space="0"/>
              <w:right w:val="single" w:color="000000" w:sz="4" w:space="0"/>
            </w:tcBorders>
            <w:vAlign w:val="center"/>
          </w:tcPr>
          <w:p w14:paraId="18B2D951">
            <w:pPr>
              <w:spacing w:line="240" w:lineRule="auto"/>
              <w:jc w:val="center"/>
              <w:rPr>
                <w:rFonts w:ascii="宋体" w:hAnsi="宋体"/>
                <w:sz w:val="18"/>
                <w:szCs w:val="18"/>
              </w:rPr>
            </w:pPr>
            <w:r>
              <w:rPr>
                <w:rFonts w:ascii="宋体" w:hAnsi="宋体"/>
                <w:sz w:val="18"/>
                <w:szCs w:val="18"/>
              </w:rPr>
              <w:t>24</w:t>
            </w:r>
          </w:p>
        </w:tc>
        <w:tc>
          <w:tcPr>
            <w:tcW w:w="1652" w:type="dxa"/>
            <w:tcBorders>
              <w:top w:val="single" w:color="000000" w:sz="4" w:space="0"/>
              <w:left w:val="nil"/>
              <w:bottom w:val="single" w:color="000000" w:sz="4" w:space="0"/>
              <w:right w:val="single" w:color="000000" w:sz="4" w:space="0"/>
            </w:tcBorders>
            <w:vAlign w:val="center"/>
          </w:tcPr>
          <w:p w14:paraId="32FF092A">
            <w:pPr>
              <w:spacing w:line="240" w:lineRule="auto"/>
              <w:jc w:val="center"/>
              <w:rPr>
                <w:rFonts w:ascii="宋体" w:hAnsi="宋体"/>
                <w:sz w:val="18"/>
                <w:szCs w:val="18"/>
              </w:rPr>
            </w:pPr>
            <w:r>
              <w:rPr>
                <w:rFonts w:ascii="宋体" w:hAnsi="宋体"/>
                <w:sz w:val="18"/>
                <w:szCs w:val="18"/>
              </w:rPr>
              <w:t>36</w:t>
            </w:r>
          </w:p>
        </w:tc>
        <w:tc>
          <w:tcPr>
            <w:tcW w:w="1525" w:type="dxa"/>
            <w:tcBorders>
              <w:top w:val="single" w:color="000000" w:sz="4" w:space="0"/>
              <w:left w:val="nil"/>
              <w:bottom w:val="single" w:color="000000" w:sz="4" w:space="0"/>
              <w:right w:val="single" w:color="000000" w:sz="4" w:space="0"/>
            </w:tcBorders>
            <w:vAlign w:val="center"/>
          </w:tcPr>
          <w:p w14:paraId="3C17931F">
            <w:pPr>
              <w:spacing w:line="240" w:lineRule="auto"/>
              <w:jc w:val="center"/>
              <w:rPr>
                <w:rFonts w:ascii="宋体" w:hAnsi="宋体"/>
                <w:sz w:val="18"/>
                <w:szCs w:val="18"/>
              </w:rPr>
            </w:pPr>
            <w:r>
              <w:rPr>
                <w:rFonts w:ascii="宋体" w:hAnsi="宋体"/>
                <w:sz w:val="18"/>
                <w:szCs w:val="18"/>
              </w:rPr>
              <w:t>48</w:t>
            </w:r>
          </w:p>
        </w:tc>
      </w:tr>
    </w:tbl>
    <w:p w14:paraId="767FB37C">
      <w:pPr>
        <w:pStyle w:val="56"/>
        <w:ind w:firstLine="420"/>
      </w:pPr>
    </w:p>
    <w:p w14:paraId="498F832A">
      <w:pPr>
        <w:pStyle w:val="112"/>
        <w:numPr>
          <w:ilvl w:val="0"/>
          <w:numId w:val="0"/>
        </w:numPr>
        <w:spacing w:before="156" w:after="156"/>
      </w:pPr>
      <w:r>
        <w:rPr>
          <w:rFonts w:hint="eastAsia"/>
        </w:rPr>
        <w:t>表1　部分活动场所建筑面积标准</w:t>
      </w:r>
      <w:r>
        <w:rPr>
          <w:rFonts w:hint="eastAsia" w:ascii="宋体" w:hAnsi="宋体" w:eastAsia="宋体"/>
        </w:rPr>
        <w:t>（续）</w:t>
      </w:r>
    </w:p>
    <w:p w14:paraId="1F1BBDEF">
      <w:pPr>
        <w:pStyle w:val="56"/>
        <w:ind w:firstLine="360"/>
        <w:jc w:val="right"/>
        <w:rPr>
          <w:sz w:val="18"/>
          <w:szCs w:val="18"/>
        </w:rPr>
      </w:pPr>
      <w:r>
        <w:rPr>
          <w:rFonts w:hint="eastAsia"/>
          <w:sz w:val="18"/>
          <w:szCs w:val="18"/>
        </w:rPr>
        <w:t>单位为平方米</w:t>
      </w:r>
    </w:p>
    <w:tbl>
      <w:tblPr>
        <w:tblStyle w:val="26"/>
        <w:tblW w:w="92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36"/>
        <w:gridCol w:w="3048"/>
        <w:gridCol w:w="1629"/>
        <w:gridCol w:w="1652"/>
        <w:gridCol w:w="1525"/>
      </w:tblGrid>
      <w:tr w14:paraId="56F73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1436" w:type="dxa"/>
            <w:vMerge w:val="restart"/>
            <w:tcBorders>
              <w:top w:val="single" w:color="000000" w:sz="4" w:space="0"/>
              <w:left w:val="single" w:color="000000" w:sz="4" w:space="0"/>
              <w:bottom w:val="single" w:color="000000" w:sz="4" w:space="0"/>
              <w:right w:val="single" w:color="000000" w:sz="4" w:space="0"/>
            </w:tcBorders>
            <w:vAlign w:val="center"/>
          </w:tcPr>
          <w:p w14:paraId="3F40EC99">
            <w:pPr>
              <w:spacing w:line="240" w:lineRule="auto"/>
              <w:jc w:val="center"/>
              <w:rPr>
                <w:rFonts w:ascii="宋体" w:hAnsi="宋体"/>
                <w:sz w:val="18"/>
                <w:szCs w:val="18"/>
              </w:rPr>
            </w:pPr>
            <w:r>
              <w:rPr>
                <w:rFonts w:ascii="宋体" w:hAnsi="宋体"/>
                <w:sz w:val="18"/>
                <w:szCs w:val="18"/>
              </w:rPr>
              <w:t>序号</w:t>
            </w:r>
          </w:p>
        </w:tc>
        <w:tc>
          <w:tcPr>
            <w:tcW w:w="3048" w:type="dxa"/>
            <w:vMerge w:val="restart"/>
            <w:tcBorders>
              <w:top w:val="single" w:color="000000" w:sz="4" w:space="0"/>
              <w:left w:val="nil"/>
              <w:bottom w:val="single" w:color="000000" w:sz="4" w:space="0"/>
              <w:right w:val="single" w:color="000000" w:sz="4" w:space="0"/>
            </w:tcBorders>
            <w:vAlign w:val="center"/>
          </w:tcPr>
          <w:p w14:paraId="76E75DF0">
            <w:pPr>
              <w:spacing w:line="240" w:lineRule="auto"/>
              <w:jc w:val="center"/>
              <w:rPr>
                <w:rFonts w:ascii="宋体" w:hAnsi="宋体"/>
                <w:sz w:val="18"/>
                <w:szCs w:val="18"/>
              </w:rPr>
            </w:pPr>
            <w:r>
              <w:rPr>
                <w:rFonts w:ascii="宋体" w:hAnsi="宋体"/>
                <w:sz w:val="18"/>
                <w:szCs w:val="18"/>
              </w:rPr>
              <w:t>名称</w:t>
            </w:r>
          </w:p>
        </w:tc>
        <w:tc>
          <w:tcPr>
            <w:tcW w:w="4806" w:type="dxa"/>
            <w:gridSpan w:val="3"/>
            <w:tcBorders>
              <w:top w:val="single" w:color="000000" w:sz="4" w:space="0"/>
              <w:left w:val="nil"/>
              <w:bottom w:val="single" w:color="000000" w:sz="4" w:space="0"/>
              <w:right w:val="single" w:color="000000" w:sz="4" w:space="0"/>
            </w:tcBorders>
            <w:vAlign w:val="center"/>
          </w:tcPr>
          <w:p w14:paraId="0EAFF537">
            <w:pPr>
              <w:spacing w:line="240" w:lineRule="auto"/>
              <w:jc w:val="center"/>
              <w:rPr>
                <w:rFonts w:ascii="宋体" w:hAnsi="宋体"/>
                <w:sz w:val="18"/>
                <w:szCs w:val="18"/>
              </w:rPr>
            </w:pPr>
            <w:r>
              <w:rPr>
                <w:rFonts w:ascii="宋体" w:hAnsi="宋体"/>
                <w:sz w:val="18"/>
                <w:szCs w:val="18"/>
              </w:rPr>
              <w:t>面积标准下限值</w:t>
            </w:r>
            <w:r>
              <w:rPr>
                <w:rFonts w:hint="eastAsia" w:ascii="宋体" w:hAnsi="宋体"/>
                <w:sz w:val="18"/>
                <w:szCs w:val="18"/>
              </w:rPr>
              <w:t xml:space="preserve"> </w:t>
            </w:r>
          </w:p>
        </w:tc>
      </w:tr>
      <w:tr w14:paraId="49C85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1" w:hRule="atLeast"/>
          <w:jc w:val="center"/>
        </w:trPr>
        <w:tc>
          <w:tcPr>
            <w:tcW w:w="1436" w:type="dxa"/>
            <w:vMerge w:val="continue"/>
            <w:tcBorders>
              <w:top w:val="single" w:color="000000" w:sz="4" w:space="0"/>
              <w:left w:val="single" w:color="000000" w:sz="4" w:space="0"/>
              <w:bottom w:val="single" w:color="000000" w:sz="4" w:space="0"/>
              <w:right w:val="single" w:color="000000" w:sz="4" w:space="0"/>
            </w:tcBorders>
            <w:vAlign w:val="center"/>
          </w:tcPr>
          <w:p w14:paraId="0B7F084A">
            <w:pPr>
              <w:spacing w:line="240" w:lineRule="auto"/>
              <w:jc w:val="center"/>
              <w:rPr>
                <w:rFonts w:ascii="宋体" w:hAnsi="宋体"/>
                <w:sz w:val="18"/>
                <w:szCs w:val="18"/>
              </w:rPr>
            </w:pPr>
          </w:p>
        </w:tc>
        <w:tc>
          <w:tcPr>
            <w:tcW w:w="3048" w:type="dxa"/>
            <w:vMerge w:val="continue"/>
            <w:tcBorders>
              <w:top w:val="single" w:color="000000" w:sz="4" w:space="0"/>
              <w:left w:val="nil"/>
              <w:bottom w:val="single" w:color="000000" w:sz="4" w:space="0"/>
              <w:right w:val="single" w:color="000000" w:sz="4" w:space="0"/>
            </w:tcBorders>
            <w:vAlign w:val="center"/>
          </w:tcPr>
          <w:p w14:paraId="56268097">
            <w:pPr>
              <w:spacing w:line="240" w:lineRule="auto"/>
              <w:jc w:val="center"/>
              <w:rPr>
                <w:rFonts w:ascii="宋体" w:hAnsi="宋体"/>
                <w:sz w:val="18"/>
                <w:szCs w:val="18"/>
              </w:rPr>
            </w:pPr>
          </w:p>
        </w:tc>
        <w:tc>
          <w:tcPr>
            <w:tcW w:w="1629" w:type="dxa"/>
            <w:tcBorders>
              <w:top w:val="single" w:color="000000" w:sz="4" w:space="0"/>
              <w:left w:val="nil"/>
              <w:bottom w:val="single" w:color="000000" w:sz="4" w:space="0"/>
              <w:right w:val="single" w:color="000000" w:sz="4" w:space="0"/>
            </w:tcBorders>
            <w:vAlign w:val="center"/>
          </w:tcPr>
          <w:p w14:paraId="153D97AC">
            <w:pPr>
              <w:spacing w:line="240" w:lineRule="auto"/>
              <w:jc w:val="center"/>
              <w:rPr>
                <w:rFonts w:ascii="宋体" w:hAnsi="宋体"/>
                <w:sz w:val="18"/>
                <w:szCs w:val="18"/>
              </w:rPr>
            </w:pPr>
            <w:r>
              <w:rPr>
                <w:rFonts w:hint="eastAsia" w:ascii="宋体" w:hAnsi="宋体"/>
                <w:sz w:val="18"/>
                <w:szCs w:val="18"/>
              </w:rPr>
              <w:t>（</w:t>
            </w:r>
            <w:r>
              <w:rPr>
                <w:rFonts w:ascii="宋体" w:hAnsi="宋体"/>
                <w:sz w:val="18"/>
                <w:szCs w:val="18"/>
              </w:rPr>
              <w:t>50</w:t>
            </w:r>
            <w:r>
              <w:rPr>
                <w:rFonts w:hint="eastAsia" w:ascii="宋体" w:hAnsi="宋体"/>
                <w:sz w:val="18"/>
                <w:szCs w:val="18"/>
              </w:rPr>
              <w:t>～</w:t>
            </w:r>
            <w:r>
              <w:rPr>
                <w:rFonts w:ascii="宋体" w:hAnsi="宋体"/>
                <w:sz w:val="18"/>
                <w:szCs w:val="18"/>
              </w:rPr>
              <w:t>100</w:t>
            </w:r>
            <w:r>
              <w:rPr>
                <w:rFonts w:hint="eastAsia" w:ascii="宋体" w:hAnsi="宋体"/>
                <w:sz w:val="18"/>
                <w:szCs w:val="18"/>
              </w:rPr>
              <w:t>）</w:t>
            </w:r>
            <w:r>
              <w:rPr>
                <w:rFonts w:ascii="宋体" w:hAnsi="宋体"/>
                <w:sz w:val="18"/>
                <w:szCs w:val="18"/>
              </w:rPr>
              <w:t>人</w:t>
            </w:r>
          </w:p>
        </w:tc>
        <w:tc>
          <w:tcPr>
            <w:tcW w:w="1652" w:type="dxa"/>
            <w:tcBorders>
              <w:top w:val="single" w:color="000000" w:sz="4" w:space="0"/>
              <w:left w:val="nil"/>
              <w:bottom w:val="single" w:color="000000" w:sz="4" w:space="0"/>
              <w:right w:val="single" w:color="000000" w:sz="4" w:space="0"/>
            </w:tcBorders>
            <w:vAlign w:val="center"/>
          </w:tcPr>
          <w:p w14:paraId="0B7FDD2B">
            <w:pPr>
              <w:spacing w:line="240" w:lineRule="auto"/>
              <w:jc w:val="center"/>
              <w:rPr>
                <w:rFonts w:ascii="宋体" w:hAnsi="宋体"/>
                <w:sz w:val="18"/>
                <w:szCs w:val="18"/>
              </w:rPr>
            </w:pPr>
            <w:r>
              <w:rPr>
                <w:rFonts w:hint="eastAsia" w:ascii="宋体" w:hAnsi="宋体"/>
                <w:sz w:val="18"/>
                <w:szCs w:val="18"/>
              </w:rPr>
              <w:t>（</w:t>
            </w:r>
            <w:r>
              <w:rPr>
                <w:rFonts w:ascii="宋体" w:hAnsi="宋体"/>
                <w:sz w:val="18"/>
                <w:szCs w:val="18"/>
              </w:rPr>
              <w:t>101</w:t>
            </w:r>
            <w:r>
              <w:rPr>
                <w:rFonts w:hint="eastAsia" w:ascii="宋体" w:hAnsi="宋体"/>
                <w:sz w:val="18"/>
                <w:szCs w:val="18"/>
              </w:rPr>
              <w:t>～</w:t>
            </w:r>
            <w:r>
              <w:rPr>
                <w:rFonts w:ascii="宋体" w:hAnsi="宋体"/>
                <w:sz w:val="18"/>
                <w:szCs w:val="18"/>
              </w:rPr>
              <w:t>300</w:t>
            </w:r>
            <w:r>
              <w:rPr>
                <w:rFonts w:hint="eastAsia" w:ascii="宋体" w:hAnsi="宋体"/>
                <w:sz w:val="18"/>
                <w:szCs w:val="18"/>
              </w:rPr>
              <w:t>）</w:t>
            </w:r>
            <w:r>
              <w:rPr>
                <w:rFonts w:ascii="宋体" w:hAnsi="宋体"/>
                <w:sz w:val="18"/>
                <w:szCs w:val="18"/>
              </w:rPr>
              <w:t>人</w:t>
            </w:r>
          </w:p>
        </w:tc>
        <w:tc>
          <w:tcPr>
            <w:tcW w:w="1525" w:type="dxa"/>
            <w:tcBorders>
              <w:top w:val="single" w:color="000000" w:sz="4" w:space="0"/>
              <w:left w:val="nil"/>
              <w:bottom w:val="single" w:color="000000" w:sz="4" w:space="0"/>
              <w:right w:val="single" w:color="000000" w:sz="4" w:space="0"/>
            </w:tcBorders>
            <w:vAlign w:val="center"/>
          </w:tcPr>
          <w:p w14:paraId="5954139F">
            <w:pPr>
              <w:spacing w:line="240" w:lineRule="auto"/>
              <w:jc w:val="center"/>
              <w:rPr>
                <w:rFonts w:ascii="宋体" w:hAnsi="宋体"/>
                <w:sz w:val="18"/>
                <w:szCs w:val="18"/>
              </w:rPr>
            </w:pPr>
            <w:r>
              <w:rPr>
                <w:rFonts w:ascii="宋体" w:hAnsi="宋体"/>
                <w:sz w:val="18"/>
                <w:szCs w:val="18"/>
              </w:rPr>
              <w:t>301人以上</w:t>
            </w:r>
          </w:p>
        </w:tc>
      </w:tr>
      <w:tr w14:paraId="5F54A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1436" w:type="dxa"/>
            <w:tcBorders>
              <w:top w:val="single" w:color="000000" w:sz="4" w:space="0"/>
              <w:left w:val="single" w:color="000000" w:sz="4" w:space="0"/>
              <w:bottom w:val="single" w:color="000000" w:sz="4" w:space="0"/>
              <w:right w:val="single" w:color="000000" w:sz="4" w:space="0"/>
            </w:tcBorders>
            <w:vAlign w:val="center"/>
          </w:tcPr>
          <w:p w14:paraId="349AE149">
            <w:pPr>
              <w:spacing w:line="240" w:lineRule="auto"/>
              <w:jc w:val="center"/>
              <w:rPr>
                <w:rFonts w:ascii="宋体" w:hAnsi="宋体"/>
                <w:sz w:val="18"/>
                <w:szCs w:val="18"/>
              </w:rPr>
            </w:pPr>
            <w:r>
              <w:rPr>
                <w:rFonts w:hint="eastAsia" w:ascii="宋体" w:hAnsi="宋体"/>
                <w:sz w:val="18"/>
                <w:szCs w:val="18"/>
              </w:rPr>
              <w:t>3</w:t>
            </w:r>
          </w:p>
        </w:tc>
        <w:tc>
          <w:tcPr>
            <w:tcW w:w="3048" w:type="dxa"/>
            <w:tcBorders>
              <w:top w:val="single" w:color="000000" w:sz="4" w:space="0"/>
              <w:left w:val="nil"/>
              <w:bottom w:val="single" w:color="000000" w:sz="4" w:space="0"/>
              <w:right w:val="single" w:color="000000" w:sz="4" w:space="0"/>
            </w:tcBorders>
            <w:vAlign w:val="center"/>
          </w:tcPr>
          <w:p w14:paraId="0AEF5280">
            <w:pPr>
              <w:spacing w:line="240" w:lineRule="auto"/>
              <w:jc w:val="center"/>
              <w:rPr>
                <w:rFonts w:ascii="宋体" w:hAnsi="宋体"/>
                <w:sz w:val="18"/>
                <w:szCs w:val="18"/>
              </w:rPr>
            </w:pPr>
            <w:r>
              <w:rPr>
                <w:rFonts w:ascii="宋体" w:hAnsi="宋体"/>
                <w:sz w:val="18"/>
                <w:szCs w:val="18"/>
              </w:rPr>
              <w:t>健身房</w:t>
            </w:r>
          </w:p>
        </w:tc>
        <w:tc>
          <w:tcPr>
            <w:tcW w:w="1629" w:type="dxa"/>
            <w:tcBorders>
              <w:top w:val="single" w:color="000000" w:sz="4" w:space="0"/>
              <w:left w:val="nil"/>
              <w:bottom w:val="single" w:color="000000" w:sz="4" w:space="0"/>
              <w:right w:val="single" w:color="000000" w:sz="4" w:space="0"/>
            </w:tcBorders>
            <w:vAlign w:val="center"/>
          </w:tcPr>
          <w:p w14:paraId="68844239">
            <w:pPr>
              <w:spacing w:line="240" w:lineRule="auto"/>
              <w:jc w:val="center"/>
              <w:rPr>
                <w:rFonts w:ascii="宋体" w:hAnsi="宋体"/>
                <w:sz w:val="18"/>
                <w:szCs w:val="18"/>
              </w:rPr>
            </w:pPr>
            <w:r>
              <w:rPr>
                <w:rFonts w:ascii="宋体" w:hAnsi="宋体"/>
                <w:sz w:val="18"/>
                <w:szCs w:val="18"/>
              </w:rPr>
              <w:t>24</w:t>
            </w:r>
          </w:p>
        </w:tc>
        <w:tc>
          <w:tcPr>
            <w:tcW w:w="1652" w:type="dxa"/>
            <w:tcBorders>
              <w:top w:val="single" w:color="000000" w:sz="4" w:space="0"/>
              <w:left w:val="nil"/>
              <w:bottom w:val="single" w:color="000000" w:sz="4" w:space="0"/>
              <w:right w:val="single" w:color="000000" w:sz="4" w:space="0"/>
            </w:tcBorders>
            <w:vAlign w:val="center"/>
          </w:tcPr>
          <w:p w14:paraId="67D88D6A">
            <w:pPr>
              <w:spacing w:line="240" w:lineRule="auto"/>
              <w:jc w:val="center"/>
              <w:rPr>
                <w:rFonts w:ascii="宋体" w:hAnsi="宋体"/>
                <w:sz w:val="18"/>
                <w:szCs w:val="18"/>
              </w:rPr>
            </w:pPr>
            <w:r>
              <w:rPr>
                <w:rFonts w:ascii="宋体" w:hAnsi="宋体"/>
                <w:sz w:val="18"/>
                <w:szCs w:val="18"/>
              </w:rPr>
              <w:t>36</w:t>
            </w:r>
          </w:p>
        </w:tc>
        <w:tc>
          <w:tcPr>
            <w:tcW w:w="1525" w:type="dxa"/>
            <w:tcBorders>
              <w:top w:val="single" w:color="000000" w:sz="4" w:space="0"/>
              <w:left w:val="nil"/>
              <w:bottom w:val="single" w:color="000000" w:sz="4" w:space="0"/>
              <w:right w:val="single" w:color="000000" w:sz="4" w:space="0"/>
            </w:tcBorders>
            <w:vAlign w:val="center"/>
          </w:tcPr>
          <w:p w14:paraId="1CFB69D0">
            <w:pPr>
              <w:spacing w:line="240" w:lineRule="auto"/>
              <w:jc w:val="center"/>
              <w:rPr>
                <w:rFonts w:ascii="宋体" w:hAnsi="宋体"/>
                <w:sz w:val="18"/>
                <w:szCs w:val="18"/>
              </w:rPr>
            </w:pPr>
            <w:r>
              <w:rPr>
                <w:rFonts w:ascii="宋体" w:hAnsi="宋体"/>
                <w:sz w:val="18"/>
                <w:szCs w:val="18"/>
              </w:rPr>
              <w:t>48</w:t>
            </w:r>
          </w:p>
        </w:tc>
      </w:tr>
      <w:tr w14:paraId="25FB9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1" w:hRule="atLeast"/>
          <w:jc w:val="center"/>
        </w:trPr>
        <w:tc>
          <w:tcPr>
            <w:tcW w:w="1436" w:type="dxa"/>
            <w:tcBorders>
              <w:top w:val="single" w:color="000000" w:sz="4" w:space="0"/>
              <w:left w:val="single" w:color="000000" w:sz="4" w:space="0"/>
              <w:bottom w:val="single" w:color="000000" w:sz="4" w:space="0"/>
              <w:right w:val="single" w:color="000000" w:sz="4" w:space="0"/>
            </w:tcBorders>
            <w:vAlign w:val="center"/>
          </w:tcPr>
          <w:p w14:paraId="0C4898D0">
            <w:pPr>
              <w:spacing w:line="240" w:lineRule="auto"/>
              <w:jc w:val="center"/>
              <w:rPr>
                <w:rFonts w:ascii="宋体" w:hAnsi="宋体"/>
                <w:sz w:val="18"/>
                <w:szCs w:val="18"/>
              </w:rPr>
            </w:pPr>
            <w:r>
              <w:rPr>
                <w:rFonts w:hint="eastAsia" w:ascii="宋体" w:hAnsi="宋体"/>
                <w:sz w:val="18"/>
                <w:szCs w:val="18"/>
              </w:rPr>
              <w:t>4</w:t>
            </w:r>
          </w:p>
        </w:tc>
        <w:tc>
          <w:tcPr>
            <w:tcW w:w="3048" w:type="dxa"/>
            <w:tcBorders>
              <w:top w:val="single" w:color="000000" w:sz="4" w:space="0"/>
              <w:left w:val="nil"/>
              <w:bottom w:val="single" w:color="000000" w:sz="4" w:space="0"/>
              <w:right w:val="single" w:color="000000" w:sz="4" w:space="0"/>
            </w:tcBorders>
            <w:vAlign w:val="center"/>
          </w:tcPr>
          <w:p w14:paraId="3CC02FA1">
            <w:pPr>
              <w:spacing w:line="240" w:lineRule="auto"/>
              <w:jc w:val="center"/>
              <w:rPr>
                <w:rFonts w:ascii="宋体" w:hAnsi="宋体"/>
                <w:sz w:val="18"/>
                <w:szCs w:val="18"/>
              </w:rPr>
            </w:pPr>
            <w:r>
              <w:rPr>
                <w:rFonts w:ascii="宋体" w:hAnsi="宋体"/>
                <w:sz w:val="18"/>
                <w:szCs w:val="18"/>
              </w:rPr>
              <w:t>档案室</w:t>
            </w:r>
          </w:p>
        </w:tc>
        <w:tc>
          <w:tcPr>
            <w:tcW w:w="1629" w:type="dxa"/>
            <w:tcBorders>
              <w:top w:val="single" w:color="000000" w:sz="4" w:space="0"/>
              <w:left w:val="nil"/>
              <w:bottom w:val="single" w:color="000000" w:sz="4" w:space="0"/>
              <w:right w:val="single" w:color="000000" w:sz="4" w:space="0"/>
            </w:tcBorders>
            <w:vAlign w:val="center"/>
          </w:tcPr>
          <w:p w14:paraId="5533B3C1">
            <w:pPr>
              <w:spacing w:line="240" w:lineRule="auto"/>
              <w:jc w:val="center"/>
              <w:rPr>
                <w:rFonts w:ascii="宋体" w:hAnsi="宋体"/>
                <w:sz w:val="18"/>
                <w:szCs w:val="18"/>
              </w:rPr>
            </w:pPr>
            <w:r>
              <w:rPr>
                <w:rFonts w:ascii="宋体" w:hAnsi="宋体"/>
                <w:sz w:val="18"/>
                <w:szCs w:val="18"/>
              </w:rPr>
              <w:t>15</w:t>
            </w:r>
          </w:p>
        </w:tc>
        <w:tc>
          <w:tcPr>
            <w:tcW w:w="1652" w:type="dxa"/>
            <w:tcBorders>
              <w:top w:val="single" w:color="000000" w:sz="4" w:space="0"/>
              <w:left w:val="nil"/>
              <w:bottom w:val="single" w:color="000000" w:sz="4" w:space="0"/>
              <w:right w:val="single" w:color="000000" w:sz="4" w:space="0"/>
            </w:tcBorders>
            <w:vAlign w:val="center"/>
          </w:tcPr>
          <w:p w14:paraId="23468954">
            <w:pPr>
              <w:spacing w:line="240" w:lineRule="auto"/>
              <w:jc w:val="center"/>
              <w:rPr>
                <w:rFonts w:ascii="宋体" w:hAnsi="宋体"/>
                <w:sz w:val="18"/>
                <w:szCs w:val="18"/>
              </w:rPr>
            </w:pPr>
            <w:r>
              <w:rPr>
                <w:rFonts w:ascii="宋体" w:hAnsi="宋体"/>
                <w:sz w:val="18"/>
                <w:szCs w:val="18"/>
              </w:rPr>
              <w:t>20</w:t>
            </w:r>
          </w:p>
        </w:tc>
        <w:tc>
          <w:tcPr>
            <w:tcW w:w="1525" w:type="dxa"/>
            <w:tcBorders>
              <w:top w:val="single" w:color="000000" w:sz="4" w:space="0"/>
              <w:left w:val="nil"/>
              <w:bottom w:val="single" w:color="000000" w:sz="4" w:space="0"/>
              <w:right w:val="single" w:color="000000" w:sz="4" w:space="0"/>
            </w:tcBorders>
            <w:vAlign w:val="center"/>
          </w:tcPr>
          <w:p w14:paraId="0C3139A4">
            <w:pPr>
              <w:spacing w:line="240" w:lineRule="auto"/>
              <w:jc w:val="center"/>
              <w:rPr>
                <w:rFonts w:ascii="宋体" w:hAnsi="宋体"/>
                <w:sz w:val="18"/>
                <w:szCs w:val="18"/>
              </w:rPr>
            </w:pPr>
            <w:r>
              <w:rPr>
                <w:rFonts w:ascii="宋体" w:hAnsi="宋体"/>
                <w:sz w:val="18"/>
                <w:szCs w:val="18"/>
              </w:rPr>
              <w:t>20</w:t>
            </w:r>
          </w:p>
        </w:tc>
      </w:tr>
      <w:tr w14:paraId="0015D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1436" w:type="dxa"/>
            <w:tcBorders>
              <w:top w:val="single" w:color="000000" w:sz="4" w:space="0"/>
              <w:left w:val="single" w:color="000000" w:sz="4" w:space="0"/>
              <w:bottom w:val="single" w:color="000000" w:sz="4" w:space="0"/>
              <w:right w:val="single" w:color="000000" w:sz="4" w:space="0"/>
            </w:tcBorders>
            <w:vAlign w:val="center"/>
          </w:tcPr>
          <w:p w14:paraId="378D9C0F">
            <w:pPr>
              <w:spacing w:line="240" w:lineRule="auto"/>
              <w:jc w:val="center"/>
              <w:rPr>
                <w:rFonts w:ascii="宋体" w:hAnsi="宋体"/>
                <w:sz w:val="18"/>
                <w:szCs w:val="18"/>
              </w:rPr>
            </w:pPr>
            <w:r>
              <w:rPr>
                <w:rFonts w:hint="eastAsia" w:ascii="宋体" w:hAnsi="宋体"/>
                <w:sz w:val="18"/>
                <w:szCs w:val="18"/>
              </w:rPr>
              <w:t>5</w:t>
            </w:r>
          </w:p>
        </w:tc>
        <w:tc>
          <w:tcPr>
            <w:tcW w:w="3048" w:type="dxa"/>
            <w:tcBorders>
              <w:top w:val="single" w:color="000000" w:sz="4" w:space="0"/>
              <w:left w:val="nil"/>
              <w:bottom w:val="single" w:color="000000" w:sz="4" w:space="0"/>
              <w:right w:val="single" w:color="000000" w:sz="4" w:space="0"/>
            </w:tcBorders>
            <w:vAlign w:val="center"/>
          </w:tcPr>
          <w:p w14:paraId="4FEE1815">
            <w:pPr>
              <w:spacing w:line="240" w:lineRule="auto"/>
              <w:jc w:val="center"/>
              <w:rPr>
                <w:rFonts w:ascii="宋体" w:hAnsi="宋体"/>
                <w:sz w:val="18"/>
                <w:szCs w:val="18"/>
              </w:rPr>
            </w:pPr>
            <w:r>
              <w:rPr>
                <w:rFonts w:ascii="宋体" w:hAnsi="宋体"/>
                <w:sz w:val="18"/>
                <w:szCs w:val="18"/>
              </w:rPr>
              <w:t>荣誉室</w:t>
            </w:r>
          </w:p>
        </w:tc>
        <w:tc>
          <w:tcPr>
            <w:tcW w:w="1629" w:type="dxa"/>
            <w:tcBorders>
              <w:top w:val="single" w:color="000000" w:sz="4" w:space="0"/>
              <w:left w:val="nil"/>
              <w:bottom w:val="single" w:color="000000" w:sz="4" w:space="0"/>
              <w:right w:val="single" w:color="000000" w:sz="4" w:space="0"/>
            </w:tcBorders>
            <w:vAlign w:val="center"/>
          </w:tcPr>
          <w:p w14:paraId="4F0B76C7">
            <w:pPr>
              <w:spacing w:line="240" w:lineRule="auto"/>
              <w:jc w:val="center"/>
              <w:rPr>
                <w:rFonts w:ascii="宋体" w:hAnsi="宋体"/>
                <w:sz w:val="18"/>
                <w:szCs w:val="18"/>
              </w:rPr>
            </w:pPr>
            <w:r>
              <w:rPr>
                <w:rFonts w:ascii="宋体" w:hAnsi="宋体"/>
                <w:sz w:val="18"/>
                <w:szCs w:val="18"/>
              </w:rPr>
              <w:t>24</w:t>
            </w:r>
          </w:p>
        </w:tc>
        <w:tc>
          <w:tcPr>
            <w:tcW w:w="1652" w:type="dxa"/>
            <w:tcBorders>
              <w:top w:val="single" w:color="000000" w:sz="4" w:space="0"/>
              <w:left w:val="nil"/>
              <w:bottom w:val="single" w:color="000000" w:sz="4" w:space="0"/>
              <w:right w:val="single" w:color="000000" w:sz="4" w:space="0"/>
            </w:tcBorders>
            <w:vAlign w:val="center"/>
          </w:tcPr>
          <w:p w14:paraId="1B4CBA1B">
            <w:pPr>
              <w:spacing w:line="240" w:lineRule="auto"/>
              <w:jc w:val="center"/>
              <w:rPr>
                <w:rFonts w:ascii="宋体" w:hAnsi="宋体"/>
                <w:sz w:val="18"/>
                <w:szCs w:val="18"/>
              </w:rPr>
            </w:pPr>
            <w:r>
              <w:rPr>
                <w:rFonts w:ascii="宋体" w:hAnsi="宋体"/>
                <w:sz w:val="18"/>
                <w:szCs w:val="18"/>
              </w:rPr>
              <w:t>24</w:t>
            </w:r>
          </w:p>
        </w:tc>
        <w:tc>
          <w:tcPr>
            <w:tcW w:w="1525" w:type="dxa"/>
            <w:tcBorders>
              <w:top w:val="single" w:color="000000" w:sz="4" w:space="0"/>
              <w:left w:val="nil"/>
              <w:bottom w:val="single" w:color="000000" w:sz="4" w:space="0"/>
              <w:right w:val="single" w:color="000000" w:sz="4" w:space="0"/>
            </w:tcBorders>
            <w:vAlign w:val="center"/>
          </w:tcPr>
          <w:p w14:paraId="3E767D56">
            <w:pPr>
              <w:spacing w:line="240" w:lineRule="auto"/>
              <w:jc w:val="center"/>
              <w:rPr>
                <w:rFonts w:ascii="宋体" w:hAnsi="宋体"/>
                <w:sz w:val="18"/>
                <w:szCs w:val="18"/>
              </w:rPr>
            </w:pPr>
            <w:r>
              <w:rPr>
                <w:rFonts w:ascii="宋体" w:hAnsi="宋体"/>
                <w:sz w:val="18"/>
                <w:szCs w:val="18"/>
              </w:rPr>
              <w:t>36</w:t>
            </w:r>
          </w:p>
        </w:tc>
      </w:tr>
      <w:tr w14:paraId="7453C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1" w:hRule="atLeast"/>
          <w:jc w:val="center"/>
        </w:trPr>
        <w:tc>
          <w:tcPr>
            <w:tcW w:w="1436" w:type="dxa"/>
            <w:tcBorders>
              <w:top w:val="single" w:color="000000" w:sz="4" w:space="0"/>
              <w:left w:val="single" w:color="000000" w:sz="4" w:space="0"/>
              <w:bottom w:val="single" w:color="000000" w:sz="4" w:space="0"/>
              <w:right w:val="single" w:color="000000" w:sz="4" w:space="0"/>
            </w:tcBorders>
            <w:vAlign w:val="center"/>
          </w:tcPr>
          <w:p w14:paraId="4AE488C6">
            <w:pPr>
              <w:spacing w:line="240" w:lineRule="auto"/>
              <w:jc w:val="center"/>
              <w:rPr>
                <w:rFonts w:ascii="宋体" w:hAnsi="宋体"/>
                <w:sz w:val="18"/>
                <w:szCs w:val="18"/>
              </w:rPr>
            </w:pPr>
            <w:r>
              <w:rPr>
                <w:rFonts w:hint="eastAsia" w:ascii="宋体" w:hAnsi="宋体"/>
                <w:sz w:val="18"/>
                <w:szCs w:val="18"/>
              </w:rPr>
              <w:t>6</w:t>
            </w:r>
          </w:p>
        </w:tc>
        <w:tc>
          <w:tcPr>
            <w:tcW w:w="3048" w:type="dxa"/>
            <w:tcBorders>
              <w:top w:val="single" w:color="000000" w:sz="4" w:space="0"/>
              <w:left w:val="nil"/>
              <w:bottom w:val="single" w:color="000000" w:sz="4" w:space="0"/>
              <w:right w:val="single" w:color="000000" w:sz="4" w:space="0"/>
            </w:tcBorders>
            <w:vAlign w:val="center"/>
          </w:tcPr>
          <w:p w14:paraId="6863E14E">
            <w:pPr>
              <w:spacing w:line="240" w:lineRule="auto"/>
              <w:jc w:val="center"/>
              <w:rPr>
                <w:rFonts w:ascii="宋体" w:hAnsi="宋体"/>
                <w:sz w:val="18"/>
                <w:szCs w:val="18"/>
              </w:rPr>
            </w:pPr>
            <w:r>
              <w:rPr>
                <w:rFonts w:ascii="宋体" w:hAnsi="宋体"/>
                <w:sz w:val="18"/>
                <w:szCs w:val="18"/>
              </w:rPr>
              <w:t>会议室</w:t>
            </w:r>
          </w:p>
        </w:tc>
        <w:tc>
          <w:tcPr>
            <w:tcW w:w="1629" w:type="dxa"/>
            <w:tcBorders>
              <w:top w:val="single" w:color="000000" w:sz="4" w:space="0"/>
              <w:left w:val="nil"/>
              <w:bottom w:val="single" w:color="000000" w:sz="4" w:space="0"/>
              <w:right w:val="single" w:color="000000" w:sz="4" w:space="0"/>
            </w:tcBorders>
            <w:vAlign w:val="center"/>
          </w:tcPr>
          <w:p w14:paraId="55E2012D">
            <w:pPr>
              <w:spacing w:line="240" w:lineRule="auto"/>
              <w:jc w:val="center"/>
              <w:rPr>
                <w:rFonts w:ascii="宋体" w:hAnsi="宋体"/>
                <w:sz w:val="18"/>
                <w:szCs w:val="18"/>
              </w:rPr>
            </w:pPr>
            <w:r>
              <w:rPr>
                <w:rFonts w:ascii="宋体" w:hAnsi="宋体"/>
                <w:sz w:val="18"/>
                <w:szCs w:val="18"/>
              </w:rPr>
              <w:t>100</w:t>
            </w:r>
          </w:p>
        </w:tc>
        <w:tc>
          <w:tcPr>
            <w:tcW w:w="1652" w:type="dxa"/>
            <w:tcBorders>
              <w:top w:val="single" w:color="000000" w:sz="4" w:space="0"/>
              <w:left w:val="nil"/>
              <w:bottom w:val="single" w:color="000000" w:sz="4" w:space="0"/>
              <w:right w:val="single" w:color="000000" w:sz="4" w:space="0"/>
            </w:tcBorders>
            <w:vAlign w:val="center"/>
          </w:tcPr>
          <w:p w14:paraId="443835E4">
            <w:pPr>
              <w:spacing w:line="240" w:lineRule="auto"/>
              <w:jc w:val="center"/>
              <w:rPr>
                <w:rFonts w:ascii="宋体" w:hAnsi="宋体"/>
                <w:sz w:val="18"/>
                <w:szCs w:val="18"/>
              </w:rPr>
            </w:pPr>
            <w:r>
              <w:rPr>
                <w:rFonts w:ascii="宋体" w:hAnsi="宋体"/>
                <w:sz w:val="18"/>
                <w:szCs w:val="18"/>
              </w:rPr>
              <w:t>160</w:t>
            </w:r>
          </w:p>
        </w:tc>
        <w:tc>
          <w:tcPr>
            <w:tcW w:w="1525" w:type="dxa"/>
            <w:tcBorders>
              <w:top w:val="single" w:color="000000" w:sz="4" w:space="0"/>
              <w:left w:val="nil"/>
              <w:bottom w:val="single" w:color="000000" w:sz="4" w:space="0"/>
              <w:right w:val="single" w:color="000000" w:sz="4" w:space="0"/>
            </w:tcBorders>
            <w:vAlign w:val="center"/>
          </w:tcPr>
          <w:p w14:paraId="137D0A64">
            <w:pPr>
              <w:spacing w:line="240" w:lineRule="auto"/>
              <w:jc w:val="center"/>
              <w:rPr>
                <w:rFonts w:ascii="宋体" w:hAnsi="宋体"/>
                <w:sz w:val="18"/>
                <w:szCs w:val="18"/>
              </w:rPr>
            </w:pPr>
            <w:r>
              <w:rPr>
                <w:rFonts w:ascii="宋体" w:hAnsi="宋体"/>
                <w:sz w:val="18"/>
                <w:szCs w:val="18"/>
              </w:rPr>
              <w:t>300</w:t>
            </w:r>
          </w:p>
        </w:tc>
      </w:tr>
      <w:tr w14:paraId="2AFB1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1436" w:type="dxa"/>
            <w:tcBorders>
              <w:top w:val="single" w:color="000000" w:sz="4" w:space="0"/>
              <w:left w:val="single" w:color="000000" w:sz="4" w:space="0"/>
              <w:bottom w:val="single" w:color="000000" w:sz="4" w:space="0"/>
              <w:right w:val="single" w:color="000000" w:sz="4" w:space="0"/>
            </w:tcBorders>
            <w:vAlign w:val="center"/>
          </w:tcPr>
          <w:p w14:paraId="4736764B">
            <w:pPr>
              <w:spacing w:line="240" w:lineRule="auto"/>
              <w:jc w:val="center"/>
              <w:rPr>
                <w:rFonts w:ascii="宋体" w:hAnsi="宋体"/>
                <w:sz w:val="18"/>
                <w:szCs w:val="18"/>
              </w:rPr>
            </w:pPr>
            <w:r>
              <w:rPr>
                <w:rFonts w:hint="eastAsia" w:ascii="宋体" w:hAnsi="宋体"/>
                <w:sz w:val="18"/>
                <w:szCs w:val="18"/>
              </w:rPr>
              <w:t>7</w:t>
            </w:r>
          </w:p>
        </w:tc>
        <w:tc>
          <w:tcPr>
            <w:tcW w:w="3048" w:type="dxa"/>
            <w:tcBorders>
              <w:top w:val="single" w:color="000000" w:sz="4" w:space="0"/>
              <w:left w:val="nil"/>
              <w:bottom w:val="single" w:color="000000" w:sz="4" w:space="0"/>
              <w:right w:val="single" w:color="000000" w:sz="4" w:space="0"/>
            </w:tcBorders>
            <w:vAlign w:val="center"/>
          </w:tcPr>
          <w:p w14:paraId="498B508C">
            <w:pPr>
              <w:spacing w:line="240" w:lineRule="auto"/>
              <w:jc w:val="center"/>
              <w:rPr>
                <w:rFonts w:ascii="宋体" w:hAnsi="宋体"/>
                <w:sz w:val="18"/>
                <w:szCs w:val="18"/>
              </w:rPr>
            </w:pPr>
            <w:r>
              <w:rPr>
                <w:rFonts w:ascii="宋体" w:hAnsi="宋体"/>
                <w:sz w:val="18"/>
                <w:szCs w:val="18"/>
              </w:rPr>
              <w:t>阅览室</w:t>
            </w:r>
          </w:p>
        </w:tc>
        <w:tc>
          <w:tcPr>
            <w:tcW w:w="1629" w:type="dxa"/>
            <w:tcBorders>
              <w:top w:val="single" w:color="000000" w:sz="4" w:space="0"/>
              <w:left w:val="nil"/>
              <w:bottom w:val="single" w:color="000000" w:sz="4" w:space="0"/>
              <w:right w:val="single" w:color="000000" w:sz="4" w:space="0"/>
            </w:tcBorders>
            <w:vAlign w:val="center"/>
          </w:tcPr>
          <w:p w14:paraId="5DA94539">
            <w:pPr>
              <w:spacing w:line="240" w:lineRule="auto"/>
              <w:jc w:val="center"/>
              <w:rPr>
                <w:rFonts w:ascii="宋体" w:hAnsi="宋体"/>
                <w:sz w:val="18"/>
                <w:szCs w:val="18"/>
              </w:rPr>
            </w:pPr>
            <w:r>
              <w:rPr>
                <w:rFonts w:ascii="宋体" w:hAnsi="宋体"/>
                <w:sz w:val="18"/>
                <w:szCs w:val="18"/>
              </w:rPr>
              <w:t>24</w:t>
            </w:r>
          </w:p>
        </w:tc>
        <w:tc>
          <w:tcPr>
            <w:tcW w:w="1652" w:type="dxa"/>
            <w:tcBorders>
              <w:top w:val="single" w:color="000000" w:sz="4" w:space="0"/>
              <w:left w:val="nil"/>
              <w:bottom w:val="single" w:color="000000" w:sz="4" w:space="0"/>
              <w:right w:val="single" w:color="000000" w:sz="4" w:space="0"/>
            </w:tcBorders>
            <w:vAlign w:val="center"/>
          </w:tcPr>
          <w:p w14:paraId="27303D6E">
            <w:pPr>
              <w:spacing w:line="240" w:lineRule="auto"/>
              <w:jc w:val="center"/>
              <w:rPr>
                <w:rFonts w:ascii="宋体" w:hAnsi="宋体"/>
                <w:sz w:val="18"/>
                <w:szCs w:val="18"/>
              </w:rPr>
            </w:pPr>
            <w:r>
              <w:rPr>
                <w:rFonts w:ascii="宋体" w:hAnsi="宋体"/>
                <w:sz w:val="18"/>
                <w:szCs w:val="18"/>
              </w:rPr>
              <w:t>36</w:t>
            </w:r>
          </w:p>
        </w:tc>
        <w:tc>
          <w:tcPr>
            <w:tcW w:w="1525" w:type="dxa"/>
            <w:tcBorders>
              <w:top w:val="single" w:color="000000" w:sz="4" w:space="0"/>
              <w:left w:val="nil"/>
              <w:bottom w:val="single" w:color="000000" w:sz="4" w:space="0"/>
              <w:right w:val="single" w:color="000000" w:sz="4" w:space="0"/>
            </w:tcBorders>
            <w:vAlign w:val="center"/>
          </w:tcPr>
          <w:p w14:paraId="1AD95772">
            <w:pPr>
              <w:spacing w:line="240" w:lineRule="auto"/>
              <w:jc w:val="center"/>
              <w:rPr>
                <w:rFonts w:ascii="宋体" w:hAnsi="宋体"/>
                <w:sz w:val="18"/>
                <w:szCs w:val="18"/>
              </w:rPr>
            </w:pPr>
            <w:r>
              <w:rPr>
                <w:rFonts w:ascii="宋体" w:hAnsi="宋体"/>
                <w:sz w:val="18"/>
                <w:szCs w:val="18"/>
              </w:rPr>
              <w:t>48</w:t>
            </w:r>
          </w:p>
        </w:tc>
      </w:tr>
    </w:tbl>
    <w:p w14:paraId="0E1C60C5">
      <w:pPr>
        <w:pStyle w:val="105"/>
        <w:spacing w:before="156" w:after="156"/>
      </w:pPr>
      <w:bookmarkStart w:id="57" w:name="_Toc89957572"/>
      <w:bookmarkStart w:id="58" w:name="_Toc89940220"/>
      <w:r>
        <w:rPr>
          <w:rFonts w:hint="eastAsia"/>
        </w:rPr>
        <w:t>设施设备</w:t>
      </w:r>
      <w:bookmarkEnd w:id="57"/>
      <w:bookmarkEnd w:id="58"/>
    </w:p>
    <w:p w14:paraId="2425FB1C">
      <w:pPr>
        <w:pStyle w:val="165"/>
      </w:pPr>
      <w:r>
        <w:rPr>
          <w:rFonts w:hint="eastAsia"/>
        </w:rPr>
        <w:t>根据4.2.8和表1中活动用房的功能，配备相应的活动用设施设备。</w:t>
      </w:r>
    </w:p>
    <w:p w14:paraId="26BA6CD3">
      <w:pPr>
        <w:pStyle w:val="165"/>
      </w:pPr>
      <w:r>
        <w:rPr>
          <w:rFonts w:hint="eastAsia"/>
        </w:rPr>
        <w:t>应注重“助老、便老、宜老”等功能，结合老年人生理特点设置各类服务设施，并符合JGJ 450 的相关要求。</w:t>
      </w:r>
    </w:p>
    <w:p w14:paraId="185DB636">
      <w:pPr>
        <w:pStyle w:val="165"/>
      </w:pPr>
      <w:r>
        <w:rPr>
          <w:rFonts w:hint="eastAsia"/>
        </w:rPr>
        <w:t>应按照GB 50763的要求配备防滑、扶手、踏步和座椅等无障碍设施。</w:t>
      </w:r>
    </w:p>
    <w:p w14:paraId="1B1F91C7">
      <w:pPr>
        <w:pStyle w:val="165"/>
      </w:pPr>
      <w:r>
        <w:rPr>
          <w:rFonts w:hint="eastAsia"/>
        </w:rPr>
        <w:t>各类功能性标志应规范、醒目，符合GB/T 10001.1、GB/T 15566.1、GB 15630、GB 2894的相关要求。</w:t>
      </w:r>
    </w:p>
    <w:p w14:paraId="1D8E14FA">
      <w:pPr>
        <w:pStyle w:val="165"/>
      </w:pPr>
      <w:r>
        <w:rPr>
          <w:rFonts w:hint="eastAsia"/>
        </w:rPr>
        <w:t>应按有关规定为军休干部配备服务保障用车，主要用于军休干部集体活动和应急用车，实行专车专用，严禁公车私用。</w:t>
      </w:r>
    </w:p>
    <w:p w14:paraId="00C0EB2A">
      <w:pPr>
        <w:pStyle w:val="165"/>
      </w:pPr>
      <w:r>
        <w:rPr>
          <w:rFonts w:hint="eastAsia"/>
        </w:rPr>
        <w:t>应定期对各类设施设备进行管理维护，保证其运转良好。</w:t>
      </w:r>
    </w:p>
    <w:p w14:paraId="347568FB">
      <w:pPr>
        <w:pStyle w:val="165"/>
      </w:pPr>
      <w:r>
        <w:rPr>
          <w:rFonts w:hint="eastAsia"/>
        </w:rPr>
        <w:t>军休机构应根据实际情况，设置与车辆相匹配的停车区域和车位。</w:t>
      </w:r>
    </w:p>
    <w:p w14:paraId="3E68D3D5">
      <w:pPr>
        <w:pStyle w:val="165"/>
      </w:pPr>
      <w:r>
        <w:rPr>
          <w:rFonts w:hint="eastAsia"/>
        </w:rPr>
        <w:t>军休机构应设置播报系统、监控系统等设施设备。</w:t>
      </w:r>
    </w:p>
    <w:p w14:paraId="17653E5B">
      <w:pPr>
        <w:pStyle w:val="105"/>
        <w:spacing w:before="156" w:after="156"/>
      </w:pPr>
      <w:bookmarkStart w:id="59" w:name="_Toc89957573"/>
      <w:bookmarkStart w:id="60" w:name="_Toc89940221"/>
      <w:r>
        <w:rPr>
          <w:rFonts w:hint="eastAsia"/>
        </w:rPr>
        <w:t>人员配置</w:t>
      </w:r>
      <w:bookmarkEnd w:id="59"/>
      <w:bookmarkEnd w:id="60"/>
    </w:p>
    <w:p w14:paraId="0FA2C28C">
      <w:pPr>
        <w:pStyle w:val="165"/>
      </w:pPr>
      <w:r>
        <w:rPr>
          <w:rFonts w:hint="eastAsia"/>
        </w:rPr>
        <w:t>应按照有关规定配备工作人员。</w:t>
      </w:r>
    </w:p>
    <w:p w14:paraId="09FE0479">
      <w:pPr>
        <w:pStyle w:val="165"/>
      </w:pPr>
      <w:r>
        <w:rPr>
          <w:rFonts w:hint="eastAsia"/>
        </w:rPr>
        <w:t>工作人员应经岗前培训，符合条件后方能上岗。</w:t>
      </w:r>
    </w:p>
    <w:p w14:paraId="768E105B">
      <w:pPr>
        <w:pStyle w:val="165"/>
      </w:pPr>
      <w:r>
        <w:rPr>
          <w:rFonts w:hint="eastAsia"/>
        </w:rPr>
        <w:t>应结合军休服务工作实际，配置社会工作、心理咨询、康复保健、信息化管理和法律等方面的专业技术人员，专业技术人员应取得相应的执业资格。</w:t>
      </w:r>
    </w:p>
    <w:p w14:paraId="777AF031">
      <w:pPr>
        <w:pStyle w:val="165"/>
      </w:pPr>
      <w:r>
        <w:rPr>
          <w:rFonts w:hint="eastAsia"/>
        </w:rPr>
        <w:t>军休机构新聘用工作人员，一般情况下，应按规定面向社会公开招聘。</w:t>
      </w:r>
    </w:p>
    <w:p w14:paraId="7FAE71A5">
      <w:pPr>
        <w:pStyle w:val="104"/>
        <w:spacing w:before="312" w:after="312"/>
      </w:pPr>
      <w:bookmarkStart w:id="61" w:name="_Toc89957574"/>
      <w:bookmarkStart w:id="62" w:name="_Toc89940222"/>
      <w:r>
        <w:rPr>
          <w:rFonts w:hint="eastAsia"/>
        </w:rPr>
        <w:t>服务内容与要求</w:t>
      </w:r>
      <w:bookmarkEnd w:id="61"/>
      <w:bookmarkEnd w:id="62"/>
    </w:p>
    <w:p w14:paraId="5756ACF3">
      <w:pPr>
        <w:pStyle w:val="105"/>
        <w:spacing w:before="156" w:after="156"/>
      </w:pPr>
      <w:bookmarkStart w:id="63" w:name="_Toc89940223"/>
      <w:bookmarkStart w:id="64" w:name="_Toc89957575"/>
      <w:r>
        <w:rPr>
          <w:rFonts w:hint="eastAsia"/>
        </w:rPr>
        <w:t>服务通则</w:t>
      </w:r>
      <w:bookmarkEnd w:id="63"/>
      <w:bookmarkEnd w:id="64"/>
    </w:p>
    <w:p w14:paraId="325D5EB2">
      <w:pPr>
        <w:pStyle w:val="165"/>
      </w:pPr>
      <w:r>
        <w:rPr>
          <w:rFonts w:hint="eastAsia"/>
        </w:rPr>
        <w:t>军休服务管理应维护军休干部的合法权益，落实军休干部的政治待遇和生活待遇。</w:t>
      </w:r>
    </w:p>
    <w:p w14:paraId="69B56EA8">
      <w:pPr>
        <w:pStyle w:val="165"/>
      </w:pPr>
      <w:r>
        <w:rPr>
          <w:rFonts w:hint="eastAsia"/>
        </w:rPr>
        <w:t>军休服务管理应坚持政治关心、生活照顾、服务为先、依法管理的原则。</w:t>
      </w:r>
    </w:p>
    <w:p w14:paraId="69BFF903">
      <w:pPr>
        <w:pStyle w:val="165"/>
      </w:pPr>
      <w:r>
        <w:rPr>
          <w:rFonts w:hint="eastAsia"/>
        </w:rPr>
        <w:t>军休服务管理由政府领导、退役军人事务部门主管、军休机构组织实施。军休机构应主动接受退役军人事务部门的指导，承担军休服务管理的具体工作。</w:t>
      </w:r>
    </w:p>
    <w:p w14:paraId="3530368F">
      <w:pPr>
        <w:pStyle w:val="105"/>
        <w:spacing w:before="156" w:after="156"/>
      </w:pPr>
      <w:bookmarkStart w:id="65" w:name="_Toc89940224"/>
      <w:bookmarkStart w:id="66" w:name="_Toc89957576"/>
      <w:r>
        <w:rPr>
          <w:rFonts w:hint="eastAsia"/>
        </w:rPr>
        <w:t>接收安置服务</w:t>
      </w:r>
      <w:bookmarkEnd w:id="65"/>
      <w:bookmarkEnd w:id="66"/>
    </w:p>
    <w:p w14:paraId="691A4154">
      <w:pPr>
        <w:pStyle w:val="165"/>
      </w:pPr>
      <w:r>
        <w:rPr>
          <w:rFonts w:hint="eastAsia"/>
        </w:rPr>
        <w:t>对军休干部的接收安置，应开展以下工作：</w:t>
      </w:r>
    </w:p>
    <w:p w14:paraId="3C1319E2">
      <w:pPr>
        <w:pStyle w:val="174"/>
        <w:numPr>
          <w:ilvl w:val="0"/>
          <w:numId w:val="34"/>
        </w:numPr>
      </w:pPr>
      <w:r>
        <w:rPr>
          <w:rFonts w:hint="eastAsia"/>
        </w:rPr>
        <w:t>核对接收安置计划，审查档案，档案如有缺失或者断档（涉密除外），应交由部队移交单位补齐后接收，并整理军休干部档案；</w:t>
      </w:r>
    </w:p>
    <w:p w14:paraId="7654536C">
      <w:pPr>
        <w:pStyle w:val="174"/>
      </w:pPr>
      <w:r>
        <w:rPr>
          <w:rFonts w:hint="eastAsia"/>
        </w:rPr>
        <w:t>协调住建部门审查拟接收军休干部在本地的安置住房资证并予现场核实，由军休干部本人签字认可；</w:t>
      </w:r>
    </w:p>
    <w:p w14:paraId="6492E272">
      <w:pPr>
        <w:pStyle w:val="174"/>
      </w:pPr>
      <w:r>
        <w:rPr>
          <w:rFonts w:hint="eastAsia"/>
        </w:rPr>
        <w:t>组织军、地、军休干部三方见面会，了解军休干部个人及家庭基本情况、在原部队有无遗留问题，向军休干部介绍本单位基本情况以及地方医疗保障、政治和生活待遇、服务管理等有关政策和规定，以及移交过程中应办事项；</w:t>
      </w:r>
    </w:p>
    <w:p w14:paraId="014ADA18">
      <w:pPr>
        <w:pStyle w:val="174"/>
      </w:pPr>
      <w:r>
        <w:rPr>
          <w:rFonts w:hint="eastAsia"/>
        </w:rPr>
        <w:t>核定军休干部离退休费项目和标准，填写军休干部离退休费相关表格，部队移交单位、接收单位、军休干部三方签字确认，签订部队移交单位、接收单位、军休干部三方移交安置协议书（见附录A），部队移交单位向军休机构开具“三联单”；</w:t>
      </w:r>
    </w:p>
    <w:p w14:paraId="44B5137E">
      <w:pPr>
        <w:pStyle w:val="174"/>
      </w:pPr>
      <w:r>
        <w:rPr>
          <w:rFonts w:hint="eastAsia"/>
        </w:rPr>
        <w:t>协助军休干部办理户口迁移、党组织关系转移、工资、医保、社会优待和伤残干部优抚待遇等；</w:t>
      </w:r>
    </w:p>
    <w:p w14:paraId="557A2273">
      <w:pPr>
        <w:pStyle w:val="174"/>
      </w:pPr>
      <w:r>
        <w:rPr>
          <w:rFonts w:hint="eastAsia"/>
        </w:rPr>
        <w:t>将军休干部编入指定的党支部（小组）、介绍给该支部（小组）的全体党员和引导安排其参加相关活动；</w:t>
      </w:r>
    </w:p>
    <w:p w14:paraId="29C739E7">
      <w:pPr>
        <w:pStyle w:val="174"/>
      </w:pPr>
      <w:r>
        <w:rPr>
          <w:rFonts w:hint="eastAsia"/>
        </w:rPr>
        <w:t>及时登录、上报军休干部信息，初始信息，并由军休干部签字确认；</w:t>
      </w:r>
    </w:p>
    <w:p w14:paraId="2FB958C4">
      <w:pPr>
        <w:pStyle w:val="174"/>
      </w:pPr>
      <w:r>
        <w:rPr>
          <w:rFonts w:hint="eastAsia"/>
        </w:rPr>
        <w:t>举行军休干部迎接仪式。</w:t>
      </w:r>
    </w:p>
    <w:p w14:paraId="49AC6842">
      <w:pPr>
        <w:pStyle w:val="165"/>
      </w:pPr>
      <w:r>
        <w:rPr>
          <w:rFonts w:hint="eastAsia"/>
        </w:rPr>
        <w:t>军队伤病残退休干部的接收安置，参照5.2.1执行。</w:t>
      </w:r>
    </w:p>
    <w:p w14:paraId="3573A35E">
      <w:pPr>
        <w:pStyle w:val="105"/>
        <w:spacing w:before="156" w:after="156"/>
      </w:pPr>
      <w:bookmarkStart w:id="67" w:name="_Toc89940225"/>
      <w:bookmarkStart w:id="68" w:name="_Toc89957577"/>
      <w:r>
        <w:rPr>
          <w:rFonts w:hint="eastAsia"/>
        </w:rPr>
        <w:t>落实政治待遇</w:t>
      </w:r>
      <w:bookmarkEnd w:id="67"/>
      <w:bookmarkEnd w:id="68"/>
    </w:p>
    <w:p w14:paraId="3B201F96">
      <w:pPr>
        <w:pStyle w:val="65"/>
        <w:spacing w:before="156" w:after="156"/>
      </w:pPr>
      <w:r>
        <w:rPr>
          <w:rFonts w:hint="eastAsia"/>
        </w:rPr>
        <w:t>参加政治活动</w:t>
      </w:r>
    </w:p>
    <w:p w14:paraId="4B85E8FD">
      <w:pPr>
        <w:pStyle w:val="164"/>
      </w:pPr>
      <w:r>
        <w:rPr>
          <w:rFonts w:hint="eastAsia"/>
        </w:rPr>
        <w:t>协调有关部门按安置地国家机关同职级离休退休干部规定落实军休干部政治待遇。</w:t>
      </w:r>
    </w:p>
    <w:p w14:paraId="2C740982">
      <w:pPr>
        <w:pStyle w:val="164"/>
      </w:pPr>
      <w:r>
        <w:rPr>
          <w:rFonts w:hint="eastAsia"/>
        </w:rPr>
        <w:t>按照要求组织军休干部参加各级政府和军队组织举行的重大庆典和重大政治活动，扎实做好服务保障工作。</w:t>
      </w:r>
    </w:p>
    <w:p w14:paraId="278D5841">
      <w:pPr>
        <w:pStyle w:val="164"/>
      </w:pPr>
      <w:r>
        <w:rPr>
          <w:rFonts w:hint="eastAsia"/>
        </w:rPr>
        <w:t>在建军节、春节等重大节日时，协调配合当地政府和军队有关负责人走访慰问或自行组织走访慰问军休干部。</w:t>
      </w:r>
    </w:p>
    <w:p w14:paraId="3778D0C3">
      <w:pPr>
        <w:pStyle w:val="164"/>
      </w:pPr>
      <w:r>
        <w:rPr>
          <w:rFonts w:hint="eastAsia"/>
        </w:rPr>
        <w:t>按照规定组织军休干部阅读学习有关文件、听取党和政府重要会议精神传达。</w:t>
      </w:r>
    </w:p>
    <w:p w14:paraId="49BD5401">
      <w:pPr>
        <w:pStyle w:val="164"/>
      </w:pPr>
      <w:r>
        <w:rPr>
          <w:rFonts w:hint="eastAsia"/>
        </w:rPr>
        <w:t>定期组织军休干部进行政治理论学习，开展国际国内形势教育和法制教育，订阅内部时事资料或理论刊物供集中阅览，针对普遍关心的热点问题适时举办时事报告会。</w:t>
      </w:r>
    </w:p>
    <w:p w14:paraId="437B132B">
      <w:pPr>
        <w:pStyle w:val="164"/>
      </w:pPr>
      <w:r>
        <w:rPr>
          <w:rFonts w:hint="eastAsia"/>
        </w:rPr>
        <w:t>运用专题报告、集中培训、参观见学、网络平台等多种形式，常态化开展传承红色基因、宣传时事政治、开展保密等教育，引导军休干部增强“四个意识”、坚定“四个自信”、做到“两个维护”，确保军休干部永远听党话、跟党走。</w:t>
      </w:r>
    </w:p>
    <w:p w14:paraId="6333E204">
      <w:pPr>
        <w:pStyle w:val="164"/>
      </w:pPr>
      <w:r>
        <w:rPr>
          <w:rFonts w:hint="eastAsia"/>
        </w:rPr>
        <w:t>组织开展军休干部党组织建设工作，按规定设置军休干部基层党组织，落实“三会一课”等制度。</w:t>
      </w:r>
    </w:p>
    <w:p w14:paraId="3BCBE160">
      <w:pPr>
        <w:pStyle w:val="164"/>
      </w:pPr>
      <w:r>
        <w:rPr>
          <w:rFonts w:hint="eastAsia"/>
        </w:rPr>
        <w:t>常态化开展军休干部流动党员管理，确保军休干部党员全部纳入组织管理。</w:t>
      </w:r>
    </w:p>
    <w:p w14:paraId="7058048F">
      <w:pPr>
        <w:pStyle w:val="164"/>
      </w:pPr>
      <w:r>
        <w:rPr>
          <w:rFonts w:hint="eastAsia"/>
        </w:rPr>
        <w:t>规范管理军休干部出国（境）、兼职、发表言论、继续从业等事项。对违反党规党纪的，应按照有关规定作出处理。</w:t>
      </w:r>
    </w:p>
    <w:p w14:paraId="7870E9BD">
      <w:pPr>
        <w:pStyle w:val="65"/>
        <w:spacing w:before="156" w:after="156"/>
      </w:pPr>
      <w:r>
        <w:rPr>
          <w:rFonts w:hint="eastAsia"/>
        </w:rPr>
        <w:t>走访慰问服务</w:t>
      </w:r>
    </w:p>
    <w:p w14:paraId="39EB2207">
      <w:pPr>
        <w:pStyle w:val="164"/>
        <w:numPr>
          <w:ilvl w:val="0"/>
          <w:numId w:val="0"/>
        </w:numPr>
      </w:pPr>
      <w:r>
        <w:rPr>
          <w:rFonts w:hint="eastAsia"/>
        </w:rPr>
        <w:t>5.3.2.1　走访慰问军休干部应体现三个“相结合”的原则，具体包括：</w:t>
      </w:r>
    </w:p>
    <w:p w14:paraId="4017DE61">
      <w:pPr>
        <w:pStyle w:val="174"/>
        <w:numPr>
          <w:ilvl w:val="0"/>
          <w:numId w:val="35"/>
        </w:numPr>
      </w:pPr>
      <w:r>
        <w:rPr>
          <w:rFonts w:hint="eastAsia"/>
        </w:rPr>
        <w:t>服务保障和教育管理相结合；</w:t>
      </w:r>
    </w:p>
    <w:p w14:paraId="12F9EFE8">
      <w:pPr>
        <w:pStyle w:val="174"/>
      </w:pPr>
      <w:r>
        <w:rPr>
          <w:rFonts w:hint="eastAsia"/>
        </w:rPr>
        <w:t>普惠服务和社会优待相结合；</w:t>
      </w:r>
    </w:p>
    <w:p w14:paraId="36DDF083">
      <w:pPr>
        <w:pStyle w:val="174"/>
      </w:pPr>
      <w:r>
        <w:rPr>
          <w:rFonts w:hint="eastAsia"/>
        </w:rPr>
        <w:t>日常访问和专门访问相结合。</w:t>
      </w:r>
    </w:p>
    <w:p w14:paraId="53EC9A34">
      <w:pPr>
        <w:pStyle w:val="164"/>
      </w:pPr>
      <w:r>
        <w:rPr>
          <w:rFonts w:hint="eastAsia"/>
        </w:rPr>
        <w:t>走访慰问军休干部的目的包括但不限于：</w:t>
      </w:r>
    </w:p>
    <w:p w14:paraId="10A5A94F">
      <w:pPr>
        <w:pStyle w:val="174"/>
        <w:numPr>
          <w:ilvl w:val="0"/>
          <w:numId w:val="36"/>
        </w:numPr>
      </w:pPr>
      <w:r>
        <w:rPr>
          <w:rFonts w:hint="eastAsia"/>
        </w:rPr>
        <w:t>联系军休干部；</w:t>
      </w:r>
    </w:p>
    <w:p w14:paraId="65652F6E">
      <w:pPr>
        <w:pStyle w:val="174"/>
      </w:pPr>
      <w:r>
        <w:rPr>
          <w:rFonts w:hint="eastAsia"/>
        </w:rPr>
        <w:t>维护合法权益；</w:t>
      </w:r>
    </w:p>
    <w:p w14:paraId="30553A0D">
      <w:pPr>
        <w:pStyle w:val="174"/>
      </w:pPr>
      <w:r>
        <w:rPr>
          <w:rFonts w:hint="eastAsia"/>
        </w:rPr>
        <w:t>落实政治待遇和生活待遇；</w:t>
      </w:r>
    </w:p>
    <w:p w14:paraId="7787046A">
      <w:pPr>
        <w:pStyle w:val="174"/>
      </w:pPr>
      <w:r>
        <w:rPr>
          <w:rFonts w:hint="eastAsia"/>
        </w:rPr>
        <w:t>密切工休情感；</w:t>
      </w:r>
    </w:p>
    <w:p w14:paraId="61DBD690">
      <w:pPr>
        <w:pStyle w:val="174"/>
      </w:pPr>
      <w:r>
        <w:rPr>
          <w:rFonts w:hint="eastAsia"/>
        </w:rPr>
        <w:t>解决实际问题。</w:t>
      </w:r>
    </w:p>
    <w:p w14:paraId="207BD4AB">
      <w:pPr>
        <w:pStyle w:val="164"/>
      </w:pPr>
      <w:r>
        <w:rPr>
          <w:rFonts w:hint="eastAsia"/>
        </w:rPr>
        <w:t>走访慰问军休干部可采取的方式包括但不限于：</w:t>
      </w:r>
    </w:p>
    <w:p w14:paraId="63176F8A">
      <w:pPr>
        <w:pStyle w:val="174"/>
        <w:numPr>
          <w:ilvl w:val="0"/>
          <w:numId w:val="37"/>
        </w:numPr>
      </w:pPr>
      <w:r>
        <w:rPr>
          <w:rFonts w:hint="eastAsia"/>
        </w:rPr>
        <w:t>登门；</w:t>
      </w:r>
    </w:p>
    <w:p w14:paraId="0A5604AB">
      <w:pPr>
        <w:pStyle w:val="174"/>
      </w:pPr>
      <w:r>
        <w:rPr>
          <w:rFonts w:hint="eastAsia"/>
        </w:rPr>
        <w:t>电话；</w:t>
      </w:r>
    </w:p>
    <w:p w14:paraId="64676B1E">
      <w:pPr>
        <w:pStyle w:val="174"/>
      </w:pPr>
      <w:r>
        <w:rPr>
          <w:rFonts w:hint="eastAsia"/>
        </w:rPr>
        <w:t>视频；</w:t>
      </w:r>
    </w:p>
    <w:p w14:paraId="37948A85">
      <w:pPr>
        <w:pStyle w:val="174"/>
      </w:pPr>
      <w:r>
        <w:rPr>
          <w:rFonts w:hint="eastAsia"/>
        </w:rPr>
        <w:t>函告；</w:t>
      </w:r>
    </w:p>
    <w:p w14:paraId="5F8A0BD4">
      <w:pPr>
        <w:pStyle w:val="174"/>
      </w:pPr>
      <w:r>
        <w:rPr>
          <w:rFonts w:hint="eastAsia"/>
        </w:rPr>
        <w:t>问卷；</w:t>
      </w:r>
    </w:p>
    <w:p w14:paraId="0BD4EC63">
      <w:pPr>
        <w:pStyle w:val="174"/>
      </w:pPr>
      <w:r>
        <w:rPr>
          <w:rFonts w:hint="eastAsia"/>
        </w:rPr>
        <w:t>座谈。</w:t>
      </w:r>
    </w:p>
    <w:p w14:paraId="02EF4DEE">
      <w:pPr>
        <w:pStyle w:val="164"/>
      </w:pPr>
      <w:r>
        <w:rPr>
          <w:rFonts w:hint="eastAsia"/>
        </w:rPr>
        <w:t>走访慰问军休干部流程包括但不限于：</w:t>
      </w:r>
    </w:p>
    <w:p w14:paraId="3E089951">
      <w:pPr>
        <w:pStyle w:val="174"/>
        <w:numPr>
          <w:ilvl w:val="0"/>
          <w:numId w:val="38"/>
        </w:numPr>
      </w:pPr>
      <w:r>
        <w:rPr>
          <w:rFonts w:hint="eastAsia"/>
        </w:rPr>
        <w:t xml:space="preserve">组织研究； </w:t>
      </w:r>
    </w:p>
    <w:p w14:paraId="60AAD9B8">
      <w:pPr>
        <w:pStyle w:val="174"/>
      </w:pPr>
      <w:r>
        <w:rPr>
          <w:rFonts w:hint="eastAsia"/>
        </w:rPr>
        <w:t>宣传发动；</w:t>
      </w:r>
    </w:p>
    <w:p w14:paraId="39DDB59B">
      <w:pPr>
        <w:pStyle w:val="174"/>
      </w:pPr>
      <w:r>
        <w:rPr>
          <w:rFonts w:hint="eastAsia"/>
        </w:rPr>
        <w:t>责任分包；</w:t>
      </w:r>
    </w:p>
    <w:p w14:paraId="1B6A8A04">
      <w:pPr>
        <w:pStyle w:val="174"/>
      </w:pPr>
      <w:r>
        <w:rPr>
          <w:rFonts w:hint="eastAsia"/>
        </w:rPr>
        <w:t>计划推进；</w:t>
      </w:r>
    </w:p>
    <w:p w14:paraId="3DED3AE3">
      <w:pPr>
        <w:pStyle w:val="174"/>
      </w:pPr>
      <w:r>
        <w:rPr>
          <w:rFonts w:hint="eastAsia"/>
        </w:rPr>
        <w:t>统计汇总；</w:t>
      </w:r>
    </w:p>
    <w:p w14:paraId="4D0700DC">
      <w:pPr>
        <w:pStyle w:val="174"/>
      </w:pPr>
      <w:r>
        <w:rPr>
          <w:rFonts w:hint="eastAsia"/>
        </w:rPr>
        <w:t>形成台账；</w:t>
      </w:r>
    </w:p>
    <w:p w14:paraId="2BDEB6FA">
      <w:pPr>
        <w:pStyle w:val="174"/>
      </w:pPr>
      <w:r>
        <w:rPr>
          <w:rFonts w:hint="eastAsia"/>
        </w:rPr>
        <w:t>需求回应；</w:t>
      </w:r>
    </w:p>
    <w:p w14:paraId="1F0DD838">
      <w:pPr>
        <w:pStyle w:val="174"/>
      </w:pPr>
      <w:r>
        <w:rPr>
          <w:rFonts w:hint="eastAsia"/>
        </w:rPr>
        <w:t>销号管理。</w:t>
      </w:r>
    </w:p>
    <w:p w14:paraId="1DDC7725">
      <w:pPr>
        <w:pStyle w:val="164"/>
      </w:pPr>
      <w:r>
        <w:rPr>
          <w:rFonts w:hint="eastAsia"/>
        </w:rPr>
        <w:t>应根据军休干部的实际情况，采取不同类型的走访慰问，包括但不限于：</w:t>
      </w:r>
    </w:p>
    <w:p w14:paraId="53E442BE">
      <w:pPr>
        <w:pStyle w:val="174"/>
        <w:numPr>
          <w:ilvl w:val="0"/>
          <w:numId w:val="39"/>
        </w:numPr>
      </w:pPr>
      <w:r>
        <w:rPr>
          <w:rFonts w:hint="eastAsia"/>
        </w:rPr>
        <w:t>普遍走访慰问：对军休干部定期开展普遍性的走访慰问活动，对长期不在本行政区域内居住的军休干部，应建立名册、常态联系、掌握动态；</w:t>
      </w:r>
    </w:p>
    <w:p w14:paraId="1829A646">
      <w:pPr>
        <w:pStyle w:val="174"/>
      </w:pPr>
      <w:r>
        <w:rPr>
          <w:rFonts w:hint="eastAsia"/>
        </w:rPr>
        <w:t>优先走访慰问：对参战、立功，或离退休后作出突出贡献的军休干部，应优先开展走访慰问，体现政治上关心、生活上照顾、形式上尊崇；</w:t>
      </w:r>
    </w:p>
    <w:p w14:paraId="043D8810">
      <w:pPr>
        <w:pStyle w:val="174"/>
      </w:pPr>
      <w:r>
        <w:rPr>
          <w:rFonts w:hint="eastAsia"/>
        </w:rPr>
        <w:t>重点走访慰问：对身边无子女、生活不能自理以及高龄、病重、紧急住院、家庭发生重大变故等情况的军休干部，应重点走访慰问；</w:t>
      </w:r>
    </w:p>
    <w:p w14:paraId="2FE05F13">
      <w:pPr>
        <w:pStyle w:val="174"/>
      </w:pPr>
      <w:r>
        <w:rPr>
          <w:rFonts w:hint="eastAsia"/>
        </w:rPr>
        <w:t>迎新走访慰问：对当年新接收的军休干部，应在召开欢迎会之后1个月内，开展上门慰问。</w:t>
      </w:r>
    </w:p>
    <w:p w14:paraId="2740D317">
      <w:pPr>
        <w:pStyle w:val="164"/>
      </w:pPr>
      <w:r>
        <w:rPr>
          <w:rFonts w:hint="eastAsia"/>
        </w:rPr>
        <w:t>军休干部走访慰问应实现常态化、标准化、精准化、全覆盖。</w:t>
      </w:r>
    </w:p>
    <w:p w14:paraId="6B9CAB83">
      <w:pPr>
        <w:pStyle w:val="164"/>
      </w:pPr>
      <w:r>
        <w:rPr>
          <w:rFonts w:hint="eastAsia"/>
        </w:rPr>
        <w:t>应制定军休干部走访慰问的年度计划。</w:t>
      </w:r>
    </w:p>
    <w:p w14:paraId="016A0A96">
      <w:pPr>
        <w:pStyle w:val="164"/>
      </w:pPr>
      <w:r>
        <w:rPr>
          <w:rFonts w:hint="eastAsia"/>
        </w:rPr>
        <w:t>走访慰问军休干部每人每年不少于2次，遇有重要活动或者特殊情况，随时开展走访慰问活动（居住外地的，适时走访）。</w:t>
      </w:r>
    </w:p>
    <w:p w14:paraId="5E236E14">
      <w:pPr>
        <w:pStyle w:val="164"/>
      </w:pPr>
      <w:r>
        <w:rPr>
          <w:rFonts w:hint="eastAsia"/>
        </w:rPr>
        <w:t>走访慰问工作应建立工作台账，建账率应达100</w:t>
      </w:r>
      <w:r>
        <w:t> </w:t>
      </w:r>
      <w:r>
        <w:rPr>
          <w:rFonts w:hint="eastAsia"/>
        </w:rPr>
        <w:t>%。</w:t>
      </w:r>
    </w:p>
    <w:p w14:paraId="5BD0EA99">
      <w:pPr>
        <w:pStyle w:val="65"/>
        <w:spacing w:before="156" w:after="156"/>
      </w:pPr>
      <w:r>
        <w:rPr>
          <w:rFonts w:hint="eastAsia"/>
        </w:rPr>
        <w:t>关爱善后服务</w:t>
      </w:r>
    </w:p>
    <w:p w14:paraId="363A3554">
      <w:pPr>
        <w:pStyle w:val="56"/>
        <w:ind w:firstLine="420"/>
      </w:pPr>
      <w:r>
        <w:rPr>
          <w:rFonts w:hint="eastAsia"/>
        </w:rPr>
        <w:t>军休干部去世后，军休机构应协助办理有关丧葬事宜，包含但不限于：</w:t>
      </w:r>
    </w:p>
    <w:p w14:paraId="00BEEE98">
      <w:pPr>
        <w:pStyle w:val="174"/>
        <w:numPr>
          <w:ilvl w:val="0"/>
          <w:numId w:val="40"/>
        </w:numPr>
      </w:pPr>
      <w:r>
        <w:rPr>
          <w:rFonts w:hint="eastAsia"/>
        </w:rPr>
        <w:t>慰问家属，做好安抚工作；</w:t>
      </w:r>
    </w:p>
    <w:p w14:paraId="4A62D4EC">
      <w:pPr>
        <w:pStyle w:val="174"/>
      </w:pPr>
      <w:r>
        <w:rPr>
          <w:rFonts w:hint="eastAsia"/>
        </w:rPr>
        <w:t>按照相关规定，协助办理骨灰盒或遗体覆盖党旗或军旗等事宜；</w:t>
      </w:r>
    </w:p>
    <w:p w14:paraId="0F7370EF">
      <w:pPr>
        <w:pStyle w:val="174"/>
      </w:pPr>
      <w:r>
        <w:rPr>
          <w:rFonts w:hint="eastAsia"/>
        </w:rPr>
        <w:t>按规定申请发放丧葬费、离（退）休遗属6个月离（退）休费补贴、特别抚恤金、一次性抚恤金；</w:t>
      </w:r>
    </w:p>
    <w:p w14:paraId="1E279F92">
      <w:pPr>
        <w:pStyle w:val="174"/>
      </w:pPr>
      <w:r>
        <w:rPr>
          <w:rFonts w:hint="eastAsia"/>
        </w:rPr>
        <w:t>协助申请办理符合条件的军休干部遗属定期生活补助；</w:t>
      </w:r>
    </w:p>
    <w:p w14:paraId="6FAC4042">
      <w:pPr>
        <w:pStyle w:val="174"/>
      </w:pPr>
      <w:r>
        <w:rPr>
          <w:rFonts w:hint="eastAsia"/>
        </w:rPr>
        <w:t>办理《军人病故证明书》等事宜。</w:t>
      </w:r>
    </w:p>
    <w:p w14:paraId="5DB4940D">
      <w:pPr>
        <w:pStyle w:val="105"/>
        <w:spacing w:before="156" w:after="156"/>
      </w:pPr>
      <w:bookmarkStart w:id="69" w:name="_Toc89957578"/>
      <w:bookmarkStart w:id="70" w:name="_Toc89940226"/>
      <w:r>
        <w:rPr>
          <w:rFonts w:hint="eastAsia"/>
        </w:rPr>
        <w:t>生活保障服务</w:t>
      </w:r>
      <w:bookmarkEnd w:id="69"/>
      <w:bookmarkEnd w:id="70"/>
    </w:p>
    <w:p w14:paraId="4CAF6E17">
      <w:pPr>
        <w:pStyle w:val="65"/>
        <w:spacing w:before="156" w:after="156"/>
      </w:pPr>
      <w:r>
        <w:rPr>
          <w:rFonts w:hint="eastAsia"/>
        </w:rPr>
        <w:t>落实生活待遇</w:t>
      </w:r>
    </w:p>
    <w:p w14:paraId="5BEDAA6C">
      <w:pPr>
        <w:pStyle w:val="164"/>
      </w:pPr>
      <w:r>
        <w:rPr>
          <w:rFonts w:hint="eastAsia"/>
        </w:rPr>
        <w:t>应及时为军休干部发放基本离退休费及各项补助补贴，具体包括但不限于：</w:t>
      </w:r>
    </w:p>
    <w:p w14:paraId="1E358823">
      <w:pPr>
        <w:pStyle w:val="174"/>
        <w:numPr>
          <w:ilvl w:val="0"/>
          <w:numId w:val="41"/>
        </w:numPr>
      </w:pPr>
      <w:r>
        <w:rPr>
          <w:rFonts w:hint="eastAsia"/>
        </w:rPr>
        <w:t>发放军休干部基本离退休费；</w:t>
      </w:r>
    </w:p>
    <w:p w14:paraId="6585D9F3">
      <w:pPr>
        <w:pStyle w:val="174"/>
      </w:pPr>
      <w:r>
        <w:rPr>
          <w:rFonts w:hint="eastAsia"/>
        </w:rPr>
        <w:t>按照国家统一部署调整离退休费；</w:t>
      </w:r>
    </w:p>
    <w:p w14:paraId="7EEED4CD">
      <w:pPr>
        <w:pStyle w:val="174"/>
      </w:pPr>
      <w:r>
        <w:rPr>
          <w:rFonts w:hint="eastAsia"/>
        </w:rPr>
        <w:t>按照离休干部参加工作时期发放生活补贴；</w:t>
      </w:r>
    </w:p>
    <w:p w14:paraId="1A0A626A">
      <w:pPr>
        <w:pStyle w:val="174"/>
      </w:pPr>
      <w:r>
        <w:rPr>
          <w:rFonts w:hint="eastAsia"/>
        </w:rPr>
        <w:t>按标准为离休干部发放荣誉金、服装费；</w:t>
      </w:r>
    </w:p>
    <w:p w14:paraId="18AD6A95">
      <w:pPr>
        <w:pStyle w:val="174"/>
      </w:pPr>
      <w:r>
        <w:rPr>
          <w:rFonts w:hint="eastAsia"/>
        </w:rPr>
        <w:t>按规定管理使用离休干部特需费；</w:t>
      </w:r>
    </w:p>
    <w:p w14:paraId="2E06DDBE">
      <w:pPr>
        <w:pStyle w:val="174"/>
      </w:pPr>
      <w:r>
        <w:rPr>
          <w:rFonts w:hint="eastAsia"/>
        </w:rPr>
        <w:t>按标准发放电话补贴、军粮差价补贴、交通费；</w:t>
      </w:r>
    </w:p>
    <w:p w14:paraId="5E74E506">
      <w:pPr>
        <w:pStyle w:val="174"/>
      </w:pPr>
      <w:r>
        <w:rPr>
          <w:rFonts w:hint="eastAsia"/>
        </w:rPr>
        <w:t>按军休干部的水、电补助标准，依据安置地政府有关规定的水、电价格计发水电补助；</w:t>
      </w:r>
    </w:p>
    <w:p w14:paraId="3C82AF43">
      <w:pPr>
        <w:pStyle w:val="174"/>
      </w:pPr>
      <w:r>
        <w:rPr>
          <w:rFonts w:hint="eastAsia"/>
        </w:rPr>
        <w:t>按标准为军休干部及符合条件的军休干部遗属发放房租补贴、住房物业服务补贴、取暖补贴；</w:t>
      </w:r>
    </w:p>
    <w:p w14:paraId="489E98A6">
      <w:pPr>
        <w:pStyle w:val="174"/>
      </w:pPr>
      <w:r>
        <w:rPr>
          <w:rFonts w:hint="eastAsia"/>
        </w:rPr>
        <w:t>按标准为符合享受条件的军休干部发放护理费；</w:t>
      </w:r>
    </w:p>
    <w:p w14:paraId="729476DC">
      <w:pPr>
        <w:pStyle w:val="174"/>
      </w:pPr>
      <w:r>
        <w:rPr>
          <w:rFonts w:hint="eastAsia"/>
        </w:rPr>
        <w:t>按标准为军休干部发放防暑降温费、住院伙食补助费；</w:t>
      </w:r>
    </w:p>
    <w:p w14:paraId="44A82D9A">
      <w:pPr>
        <w:pStyle w:val="174"/>
      </w:pPr>
      <w:r>
        <w:rPr>
          <w:rFonts w:hint="eastAsia"/>
        </w:rPr>
        <w:t>按规定对符合条件的军休干部报销探亲往返车船费；</w:t>
      </w:r>
    </w:p>
    <w:p w14:paraId="343A7EDD">
      <w:pPr>
        <w:pStyle w:val="174"/>
      </w:pPr>
      <w:r>
        <w:rPr>
          <w:rFonts w:hint="eastAsia"/>
        </w:rPr>
        <w:t>按规定对符合条件的军休干部发放政府特殊津贴；</w:t>
      </w:r>
    </w:p>
    <w:p w14:paraId="2ED73441">
      <w:pPr>
        <w:pStyle w:val="174"/>
      </w:pPr>
      <w:r>
        <w:rPr>
          <w:rFonts w:hint="eastAsia"/>
        </w:rPr>
        <w:t>按规定对符合条件的军休干部发放地区生活津贴。</w:t>
      </w:r>
    </w:p>
    <w:p w14:paraId="1A8092E6">
      <w:pPr>
        <w:pStyle w:val="164"/>
      </w:pPr>
      <w:r>
        <w:rPr>
          <w:rFonts w:hint="eastAsia"/>
        </w:rPr>
        <w:t>对于受刑事处罚等特殊情况下军休干部的生活待遇，应按相关规定及时进行调整。</w:t>
      </w:r>
    </w:p>
    <w:p w14:paraId="7FA3B426">
      <w:pPr>
        <w:pStyle w:val="164"/>
      </w:pPr>
      <w:r>
        <w:rPr>
          <w:rFonts w:hint="eastAsia"/>
        </w:rPr>
        <w:t>应细致做好调整军队干部离退休费标准、补贴标准等各项费用的预算、核算、报批与发放工作，做到不错、不漏、不误。</w:t>
      </w:r>
    </w:p>
    <w:p w14:paraId="017D0330">
      <w:pPr>
        <w:pStyle w:val="65"/>
        <w:spacing w:before="156" w:after="156"/>
      </w:pPr>
      <w:r>
        <w:rPr>
          <w:rFonts w:hint="eastAsia"/>
        </w:rPr>
        <w:t>落实住房保障</w:t>
      </w:r>
    </w:p>
    <w:p w14:paraId="5A81BE69">
      <w:pPr>
        <w:pStyle w:val="164"/>
      </w:pPr>
      <w:r>
        <w:rPr>
          <w:rFonts w:hint="eastAsia"/>
        </w:rPr>
        <w:t>应按时按标准发放军休干部住房物业服务补贴、房租补贴。</w:t>
      </w:r>
    </w:p>
    <w:p w14:paraId="68944196">
      <w:pPr>
        <w:pStyle w:val="164"/>
      </w:pPr>
      <w:r>
        <w:rPr>
          <w:rFonts w:hint="eastAsia"/>
        </w:rPr>
        <w:t>应按照上级部署，充分利用全国普惠性的城镇老旧小区改造政策，通过加装电梯、水暖管道改造等多种方式改善军休老旧小区军休干部居住条件。</w:t>
      </w:r>
    </w:p>
    <w:p w14:paraId="662779D6">
      <w:pPr>
        <w:pStyle w:val="164"/>
      </w:pPr>
      <w:r>
        <w:rPr>
          <w:rFonts w:hint="eastAsia"/>
        </w:rPr>
        <w:t>符合当地住房保障条件且住房困难的伤病残军休干部，纳入当地住房保障范围优先予以保障。</w:t>
      </w:r>
    </w:p>
    <w:p w14:paraId="27FAA923">
      <w:pPr>
        <w:pStyle w:val="105"/>
        <w:spacing w:before="156" w:after="156"/>
      </w:pPr>
      <w:bookmarkStart w:id="71" w:name="_Toc89940227"/>
      <w:bookmarkStart w:id="72" w:name="_Toc89957579"/>
      <w:r>
        <w:rPr>
          <w:rFonts w:hint="eastAsia"/>
        </w:rPr>
        <w:t>医疗保健服务</w:t>
      </w:r>
      <w:bookmarkEnd w:id="71"/>
      <w:bookmarkEnd w:id="72"/>
    </w:p>
    <w:p w14:paraId="1EE1D4C4">
      <w:pPr>
        <w:pStyle w:val="65"/>
        <w:spacing w:before="156" w:after="156"/>
      </w:pPr>
      <w:r>
        <w:rPr>
          <w:rFonts w:hint="eastAsia"/>
        </w:rPr>
        <w:t>落实医疗保障</w:t>
      </w:r>
    </w:p>
    <w:p w14:paraId="14C94E70">
      <w:pPr>
        <w:pStyle w:val="164"/>
      </w:pPr>
      <w:r>
        <w:rPr>
          <w:rFonts w:hint="eastAsia"/>
        </w:rPr>
        <w:t>军队离休干部享受安置地国家机关离休干部同等医疗待遇，医疗费按规定实报实销。</w:t>
      </w:r>
    </w:p>
    <w:p w14:paraId="60A98F0B">
      <w:pPr>
        <w:pStyle w:val="164"/>
      </w:pPr>
      <w:r>
        <w:rPr>
          <w:rFonts w:hint="eastAsia"/>
        </w:rPr>
        <w:t>军队退休干部比照安置地国家机关退休公务员参加基本医疗保险和实行公务员医疗补助，享受同职级退休公务员的医疗待遇。</w:t>
      </w:r>
    </w:p>
    <w:p w14:paraId="769CBEB2">
      <w:pPr>
        <w:pStyle w:val="164"/>
      </w:pPr>
      <w:r>
        <w:rPr>
          <w:rFonts w:hint="eastAsia"/>
        </w:rPr>
        <w:t>实行军休干部医疗补助制度，对军休干部每年享受基本医疗保险和公务员医疗补助待遇内个人自付医疗费超过1万元以上的部分，军休机构应按照不低于40 %的标准给予补助。</w:t>
      </w:r>
    </w:p>
    <w:p w14:paraId="0D102602">
      <w:pPr>
        <w:pStyle w:val="164"/>
      </w:pPr>
      <w:r>
        <w:rPr>
          <w:rFonts w:hint="eastAsia"/>
        </w:rPr>
        <w:t>建立军休干部健康体检制度，每年应安排军休干部进行1次健康体检。</w:t>
      </w:r>
    </w:p>
    <w:p w14:paraId="2CCEDF2E">
      <w:pPr>
        <w:pStyle w:val="164"/>
      </w:pPr>
      <w:r>
        <w:rPr>
          <w:rFonts w:hint="eastAsia"/>
        </w:rPr>
        <w:t>将符合条件的军休干部纳入职工长期护理保险保障范围。</w:t>
      </w:r>
    </w:p>
    <w:p w14:paraId="54CC197E">
      <w:pPr>
        <w:pStyle w:val="164"/>
      </w:pPr>
      <w:r>
        <w:rPr>
          <w:rFonts w:hint="eastAsia"/>
        </w:rPr>
        <w:t>实施军休干部医养结合工作。</w:t>
      </w:r>
    </w:p>
    <w:p w14:paraId="1038FE45">
      <w:pPr>
        <w:pStyle w:val="164"/>
      </w:pPr>
      <w:r>
        <w:rPr>
          <w:rFonts w:hint="eastAsia"/>
        </w:rPr>
        <w:t>按规定发放军休干部护理费。</w:t>
      </w:r>
    </w:p>
    <w:p w14:paraId="2FB39033">
      <w:pPr>
        <w:pStyle w:val="65"/>
        <w:spacing w:before="156" w:after="156"/>
      </w:pPr>
      <w:r>
        <w:rPr>
          <w:rFonts w:hint="eastAsia"/>
        </w:rPr>
        <w:t>荣誉疗养服务</w:t>
      </w:r>
    </w:p>
    <w:p w14:paraId="34749296">
      <w:pPr>
        <w:pStyle w:val="164"/>
      </w:pPr>
      <w:r>
        <w:rPr>
          <w:rFonts w:hint="eastAsia"/>
        </w:rPr>
        <w:t>应按照以下要求组织开展荣誉疗养活动：</w:t>
      </w:r>
    </w:p>
    <w:p w14:paraId="500063CD">
      <w:pPr>
        <w:pStyle w:val="174"/>
        <w:numPr>
          <w:ilvl w:val="0"/>
          <w:numId w:val="42"/>
        </w:numPr>
      </w:pPr>
      <w:r>
        <w:rPr>
          <w:rFonts w:hint="eastAsia"/>
        </w:rPr>
        <w:t>以休为主，安全第一；</w:t>
      </w:r>
    </w:p>
    <w:p w14:paraId="4B874035">
      <w:pPr>
        <w:pStyle w:val="174"/>
      </w:pPr>
      <w:r>
        <w:rPr>
          <w:rFonts w:hint="eastAsia"/>
        </w:rPr>
        <w:t>因地制宜；</w:t>
      </w:r>
    </w:p>
    <w:p w14:paraId="24BDCC39">
      <w:pPr>
        <w:pStyle w:val="174"/>
      </w:pPr>
      <w:r>
        <w:rPr>
          <w:rFonts w:hint="eastAsia"/>
        </w:rPr>
        <w:t>以自有资源优先、以政府购买服务为辅。</w:t>
      </w:r>
    </w:p>
    <w:p w14:paraId="1FB113CD">
      <w:pPr>
        <w:pStyle w:val="164"/>
      </w:pPr>
      <w:r>
        <w:rPr>
          <w:rFonts w:hint="eastAsia"/>
        </w:rPr>
        <w:t>参加荣誉疗养人员范围：</w:t>
      </w:r>
    </w:p>
    <w:p w14:paraId="110139C8">
      <w:pPr>
        <w:pStyle w:val="174"/>
        <w:numPr>
          <w:ilvl w:val="0"/>
          <w:numId w:val="43"/>
        </w:numPr>
      </w:pPr>
      <w:r>
        <w:rPr>
          <w:rFonts w:hint="eastAsia"/>
        </w:rPr>
        <w:t>在服役期间被授予荣誉称号、解放勋章、八一勋章、一等功、二等功、战时三等功等以上奖励的军休干部，参战以及因战因公致残的军休干部；</w:t>
      </w:r>
    </w:p>
    <w:p w14:paraId="1A23631B">
      <w:pPr>
        <w:pStyle w:val="174"/>
      </w:pPr>
      <w:r>
        <w:rPr>
          <w:rFonts w:hint="eastAsia"/>
        </w:rPr>
        <w:t>移交安置后做出突出贡献，受到县级以上表彰的；在发挥军休干部作用等方面做出重要实绩的；</w:t>
      </w:r>
    </w:p>
    <w:p w14:paraId="4A003157">
      <w:pPr>
        <w:pStyle w:val="174"/>
      </w:pPr>
      <w:r>
        <w:rPr>
          <w:rFonts w:hint="eastAsia"/>
        </w:rPr>
        <w:t>身体健康，无传染病以及其他不宜参加集中疗养的病症；</w:t>
      </w:r>
    </w:p>
    <w:p w14:paraId="63F8F43B">
      <w:pPr>
        <w:pStyle w:val="174"/>
      </w:pPr>
      <w:r>
        <w:rPr>
          <w:rFonts w:hint="eastAsia"/>
        </w:rPr>
        <w:t>其他适于纳入疗养的情形。</w:t>
      </w:r>
    </w:p>
    <w:p w14:paraId="59C46733">
      <w:pPr>
        <w:pStyle w:val="164"/>
      </w:pPr>
      <w:r>
        <w:rPr>
          <w:rFonts w:hint="eastAsia"/>
        </w:rPr>
        <w:t>疗养活动分部级、省级、市级和县级四个层面，采取集中疗养的方式进行。</w:t>
      </w:r>
    </w:p>
    <w:p w14:paraId="16C51564">
      <w:pPr>
        <w:pStyle w:val="164"/>
      </w:pPr>
      <w:r>
        <w:rPr>
          <w:rFonts w:hint="eastAsia"/>
        </w:rPr>
        <w:t>一般情况下，一年内军休干部享受一次疗养。</w:t>
      </w:r>
    </w:p>
    <w:p w14:paraId="0520085C">
      <w:pPr>
        <w:pStyle w:val="164"/>
      </w:pPr>
      <w:r>
        <w:rPr>
          <w:rFonts w:hint="eastAsia"/>
        </w:rPr>
        <w:t>应根据疗养资源合理安排丰富多彩的休养活动。坚持疗养和学习教育相结合，适当安排红色教育基地、爱国主义教育基地参观，让军休干部身心得到休养的同时又接受教育。</w:t>
      </w:r>
    </w:p>
    <w:p w14:paraId="4C2B61A5">
      <w:pPr>
        <w:pStyle w:val="164"/>
      </w:pPr>
      <w:r>
        <w:rPr>
          <w:rFonts w:hint="eastAsia"/>
        </w:rPr>
        <w:t>应通过考察确定疗养地点，制定疗养实施方案，以及紧急突发情况应急处置预案。</w:t>
      </w:r>
    </w:p>
    <w:p w14:paraId="39C193DC">
      <w:pPr>
        <w:pStyle w:val="164"/>
      </w:pPr>
      <w:r>
        <w:rPr>
          <w:rFonts w:hint="eastAsia"/>
        </w:rPr>
        <w:t>应征集适合条件的军休干部参加报名。</w:t>
      </w:r>
    </w:p>
    <w:p w14:paraId="50037029">
      <w:pPr>
        <w:pStyle w:val="164"/>
      </w:pPr>
      <w:r>
        <w:rPr>
          <w:rFonts w:hint="eastAsia"/>
        </w:rPr>
        <w:t>应成立服务保障、医疗保障、应急处置等小组，做好服务保障工作。</w:t>
      </w:r>
    </w:p>
    <w:p w14:paraId="36A200B6">
      <w:pPr>
        <w:pStyle w:val="164"/>
      </w:pPr>
      <w:r>
        <w:rPr>
          <w:rFonts w:hint="eastAsia"/>
        </w:rPr>
        <w:t>应在疗养期间对军休干部的身体健康状况及时跟进监测，遇有不适，或突发情况，按照预案及时处置。</w:t>
      </w:r>
    </w:p>
    <w:p w14:paraId="289EC6B7">
      <w:pPr>
        <w:pStyle w:val="164"/>
      </w:pPr>
      <w:r>
        <w:rPr>
          <w:rFonts w:hint="eastAsia"/>
        </w:rPr>
        <w:t>疗养期间应定期对军休干部进行巡诊。</w:t>
      </w:r>
    </w:p>
    <w:p w14:paraId="71F41CAC">
      <w:pPr>
        <w:pStyle w:val="164"/>
      </w:pPr>
      <w:r>
        <w:rPr>
          <w:rFonts w:hint="eastAsia"/>
        </w:rPr>
        <w:t>疗养期间应加强对军休干部疗养人身安全、交通安全、食品安全教育，强化组织纪律观念。</w:t>
      </w:r>
    </w:p>
    <w:p w14:paraId="06335490">
      <w:pPr>
        <w:pStyle w:val="164"/>
      </w:pPr>
      <w:r>
        <w:rPr>
          <w:rFonts w:hint="eastAsia"/>
        </w:rPr>
        <w:t>疗养活动结束后，应全面征求军休干部的意见建议。</w:t>
      </w:r>
    </w:p>
    <w:p w14:paraId="05272B62">
      <w:pPr>
        <w:pStyle w:val="164"/>
      </w:pPr>
      <w:r>
        <w:rPr>
          <w:rFonts w:hint="eastAsia"/>
        </w:rPr>
        <w:t>应重视军休干部荣誉疗养宣传工作，在全社会营造尊崇军人、尊重退役军人的良好氛围。</w:t>
      </w:r>
    </w:p>
    <w:p w14:paraId="75380C08">
      <w:pPr>
        <w:pStyle w:val="105"/>
        <w:spacing w:before="156" w:after="156"/>
      </w:pPr>
      <w:bookmarkStart w:id="73" w:name="_Toc89940228"/>
      <w:bookmarkStart w:id="74" w:name="_Toc89957580"/>
      <w:r>
        <w:rPr>
          <w:rFonts w:hint="eastAsia"/>
        </w:rPr>
        <w:t>文体教育服务</w:t>
      </w:r>
      <w:bookmarkEnd w:id="73"/>
      <w:bookmarkEnd w:id="74"/>
    </w:p>
    <w:p w14:paraId="71AFEB42">
      <w:pPr>
        <w:pStyle w:val="65"/>
        <w:spacing w:before="156" w:after="156"/>
      </w:pPr>
      <w:r>
        <w:rPr>
          <w:rFonts w:hint="eastAsia"/>
        </w:rPr>
        <w:t>文体活动</w:t>
      </w:r>
    </w:p>
    <w:p w14:paraId="5DF3231C">
      <w:pPr>
        <w:pStyle w:val="164"/>
      </w:pPr>
      <w:r>
        <w:rPr>
          <w:rFonts w:hint="eastAsia"/>
        </w:rPr>
        <w:t>应按照以下要求组织开展文体活动：</w:t>
      </w:r>
    </w:p>
    <w:p w14:paraId="144C2A09">
      <w:pPr>
        <w:pStyle w:val="174"/>
        <w:numPr>
          <w:ilvl w:val="0"/>
          <w:numId w:val="44"/>
        </w:numPr>
      </w:pPr>
      <w:r>
        <w:rPr>
          <w:rFonts w:hint="eastAsia"/>
        </w:rPr>
        <w:t>安全第一；</w:t>
      </w:r>
    </w:p>
    <w:p w14:paraId="1C3D9B5F">
      <w:pPr>
        <w:pStyle w:val="174"/>
      </w:pPr>
      <w:r>
        <w:rPr>
          <w:rFonts w:hint="eastAsia"/>
        </w:rPr>
        <w:t>个人自愿；</w:t>
      </w:r>
    </w:p>
    <w:p w14:paraId="1B4BEC25">
      <w:pPr>
        <w:pStyle w:val="174"/>
      </w:pPr>
      <w:r>
        <w:rPr>
          <w:rFonts w:hint="eastAsia"/>
        </w:rPr>
        <w:t>突出特色；</w:t>
      </w:r>
    </w:p>
    <w:p w14:paraId="3E7A094F">
      <w:pPr>
        <w:pStyle w:val="174"/>
      </w:pPr>
      <w:r>
        <w:rPr>
          <w:rFonts w:hint="eastAsia"/>
        </w:rPr>
        <w:t>发挥主动性。</w:t>
      </w:r>
    </w:p>
    <w:p w14:paraId="2E1D0126">
      <w:pPr>
        <w:pStyle w:val="164"/>
      </w:pPr>
      <w:r>
        <w:rPr>
          <w:rFonts w:hint="eastAsia"/>
        </w:rPr>
        <w:t>应定期组织军休干部开展文体活动，针对军休干部年龄、身体、专长等特点，制定年度文化体育活动计划，保证每季度至少组织开展一次文体活动。</w:t>
      </w:r>
    </w:p>
    <w:p w14:paraId="6B640F2F">
      <w:pPr>
        <w:pStyle w:val="164"/>
      </w:pPr>
      <w:r>
        <w:rPr>
          <w:rFonts w:hint="eastAsia"/>
        </w:rPr>
        <w:t>在开展文体活动时，应配备必要的服务人员、医务人员，做好安全、医疗保健等服务保障工作。</w:t>
      </w:r>
    </w:p>
    <w:p w14:paraId="48026950">
      <w:pPr>
        <w:pStyle w:val="164"/>
      </w:pPr>
      <w:r>
        <w:rPr>
          <w:rFonts w:hint="eastAsia"/>
        </w:rPr>
        <w:t>应建立必要的室内外文化体育活动场地，引导军休干部参加有益身心健康的文体活动。完善各类文体活动场所以及各项活动设施，公布开放时间，明确使用须知，安排专人负责日常管理和更新维护，保持各类设施宽敞整洁、规范有序、安全实用。</w:t>
      </w:r>
    </w:p>
    <w:p w14:paraId="4EC79592">
      <w:pPr>
        <w:pStyle w:val="164"/>
      </w:pPr>
      <w:r>
        <w:rPr>
          <w:rFonts w:hint="eastAsia"/>
        </w:rPr>
        <w:t>应鼓励和支持军休干部成立各种文体组织和兴趣小组，培养文体人才。</w:t>
      </w:r>
    </w:p>
    <w:p w14:paraId="1A44DF8D">
      <w:pPr>
        <w:pStyle w:val="164"/>
      </w:pPr>
      <w:r>
        <w:rPr>
          <w:rFonts w:hint="eastAsia"/>
        </w:rPr>
        <w:t>应及时收集军休干部历史功绩和先进典型事迹，通过设置宣传栏、荣誉室、军休文化长廊、视情创办内部刊物等方式，营造浓厚的文化氛围。</w:t>
      </w:r>
    </w:p>
    <w:p w14:paraId="7FF24FDB">
      <w:pPr>
        <w:pStyle w:val="164"/>
      </w:pPr>
      <w:r>
        <w:rPr>
          <w:rFonts w:hint="eastAsia"/>
        </w:rPr>
        <w:t>应与老年大学等社会组织开展合作，鼓励和组织军休干部积极参与老年大学的文体活动。</w:t>
      </w:r>
    </w:p>
    <w:p w14:paraId="4E3228B4">
      <w:pPr>
        <w:pStyle w:val="164"/>
      </w:pPr>
      <w:r>
        <w:rPr>
          <w:rFonts w:hint="eastAsia"/>
        </w:rPr>
        <w:t>应重视军休文化宣传工作，鼓励广大军休干部和工作人员刊登稿件，结合重大节日、革命纪念日主题，举办军休文艺汇演、太极拳表演、才艺展等活动，全面展示丰富多彩的军休文化生活。</w:t>
      </w:r>
    </w:p>
    <w:p w14:paraId="11973E77">
      <w:pPr>
        <w:pStyle w:val="65"/>
        <w:spacing w:before="156" w:after="156"/>
      </w:pPr>
      <w:r>
        <w:rPr>
          <w:rFonts w:hint="eastAsia"/>
        </w:rPr>
        <w:t>军休老年大学</w:t>
      </w:r>
    </w:p>
    <w:p w14:paraId="738B0DE4">
      <w:pPr>
        <w:pStyle w:val="164"/>
      </w:pPr>
      <w:r>
        <w:rPr>
          <w:rFonts w:hint="eastAsia"/>
        </w:rPr>
        <w:t>有条件的地方应建立军休老年大学。</w:t>
      </w:r>
    </w:p>
    <w:p w14:paraId="2CF0B144">
      <w:pPr>
        <w:pStyle w:val="164"/>
      </w:pPr>
      <w:r>
        <w:rPr>
          <w:rFonts w:hint="eastAsia"/>
        </w:rPr>
        <w:t>应建立军休老年大学教育教学管理体系，包括但不限于：</w:t>
      </w:r>
    </w:p>
    <w:p w14:paraId="18A3FA8C">
      <w:pPr>
        <w:pStyle w:val="132"/>
      </w:pPr>
      <w:r>
        <w:rPr>
          <w:rFonts w:hint="eastAsia"/>
        </w:rPr>
        <w:t>教学管理；</w:t>
      </w:r>
    </w:p>
    <w:p w14:paraId="1FCF5C41">
      <w:pPr>
        <w:pStyle w:val="132"/>
      </w:pPr>
      <w:r>
        <w:rPr>
          <w:rFonts w:hint="eastAsia"/>
        </w:rPr>
        <w:t>学员及学籍管理；</w:t>
      </w:r>
    </w:p>
    <w:p w14:paraId="61F65433">
      <w:pPr>
        <w:pStyle w:val="132"/>
      </w:pPr>
      <w:r>
        <w:rPr>
          <w:rFonts w:hint="eastAsia"/>
        </w:rPr>
        <w:t>师资队伍建设与管理；</w:t>
      </w:r>
    </w:p>
    <w:p w14:paraId="4EE21035">
      <w:pPr>
        <w:pStyle w:val="132"/>
      </w:pPr>
      <w:r>
        <w:rPr>
          <w:rFonts w:hint="eastAsia"/>
        </w:rPr>
        <w:t>专业及课程资源建设与管理；</w:t>
      </w:r>
    </w:p>
    <w:p w14:paraId="7277F00C">
      <w:pPr>
        <w:pStyle w:val="132"/>
      </w:pPr>
      <w:r>
        <w:rPr>
          <w:rFonts w:hint="eastAsia"/>
        </w:rPr>
        <w:t>教材采编使用管理规定；</w:t>
      </w:r>
    </w:p>
    <w:p w14:paraId="1713BA83">
      <w:pPr>
        <w:pStyle w:val="132"/>
      </w:pPr>
      <w:r>
        <w:rPr>
          <w:rFonts w:hint="eastAsia"/>
        </w:rPr>
        <w:t>辅导员选拔、管理办法；</w:t>
      </w:r>
    </w:p>
    <w:p w14:paraId="0E04E5A5">
      <w:pPr>
        <w:pStyle w:val="132"/>
      </w:pPr>
      <w:r>
        <w:rPr>
          <w:rFonts w:hint="eastAsia"/>
        </w:rPr>
        <w:t>教学质量监测与评估办法。</w:t>
      </w:r>
    </w:p>
    <w:p w14:paraId="15238B2E">
      <w:pPr>
        <w:pStyle w:val="164"/>
      </w:pPr>
      <w:r>
        <w:rPr>
          <w:rFonts w:hint="eastAsia"/>
        </w:rPr>
        <w:t>应根据军休干部接受教育的实际需要开设适合老年人的相关课程培训课程，培训课程包括但不限于：</w:t>
      </w:r>
    </w:p>
    <w:p w14:paraId="1D8E38FF">
      <w:pPr>
        <w:pStyle w:val="132"/>
      </w:pPr>
      <w:r>
        <w:rPr>
          <w:rFonts w:hint="eastAsia"/>
        </w:rPr>
        <w:t>哲学；</w:t>
      </w:r>
    </w:p>
    <w:p w14:paraId="7FBE4608">
      <w:pPr>
        <w:pStyle w:val="132"/>
      </w:pPr>
      <w:r>
        <w:rPr>
          <w:rFonts w:hint="eastAsia"/>
        </w:rPr>
        <w:t>法学；</w:t>
      </w:r>
    </w:p>
    <w:p w14:paraId="2E42E484">
      <w:pPr>
        <w:pStyle w:val="132"/>
      </w:pPr>
      <w:r>
        <w:rPr>
          <w:rFonts w:hint="eastAsia"/>
        </w:rPr>
        <w:t>军事学；</w:t>
      </w:r>
    </w:p>
    <w:p w14:paraId="265F5C0C">
      <w:pPr>
        <w:pStyle w:val="132"/>
      </w:pPr>
      <w:r>
        <w:rPr>
          <w:rFonts w:hint="eastAsia"/>
        </w:rPr>
        <w:t>美学；</w:t>
      </w:r>
    </w:p>
    <w:p w14:paraId="4C0407B9">
      <w:pPr>
        <w:pStyle w:val="132"/>
      </w:pPr>
      <w:r>
        <w:rPr>
          <w:rFonts w:hint="eastAsia"/>
        </w:rPr>
        <w:t>教育学；</w:t>
      </w:r>
    </w:p>
    <w:p w14:paraId="3A0E60A8">
      <w:pPr>
        <w:pStyle w:val="132"/>
      </w:pPr>
      <w:r>
        <w:rPr>
          <w:rFonts w:hint="eastAsia"/>
        </w:rPr>
        <w:t>文学；</w:t>
      </w:r>
    </w:p>
    <w:p w14:paraId="0089E037">
      <w:pPr>
        <w:pStyle w:val="132"/>
      </w:pPr>
      <w:r>
        <w:rPr>
          <w:rFonts w:hint="eastAsia"/>
        </w:rPr>
        <w:t>历史学；</w:t>
      </w:r>
    </w:p>
    <w:p w14:paraId="5C3E45D9">
      <w:pPr>
        <w:pStyle w:val="132"/>
      </w:pPr>
      <w:r>
        <w:rPr>
          <w:rFonts w:hint="eastAsia"/>
        </w:rPr>
        <w:t>艺术学；</w:t>
      </w:r>
    </w:p>
    <w:p w14:paraId="12D90229">
      <w:pPr>
        <w:pStyle w:val="132"/>
      </w:pPr>
      <w:r>
        <w:rPr>
          <w:rFonts w:hint="eastAsia"/>
        </w:rPr>
        <w:t>心理学；</w:t>
      </w:r>
    </w:p>
    <w:p w14:paraId="233E75D2">
      <w:pPr>
        <w:pStyle w:val="132"/>
      </w:pPr>
      <w:r>
        <w:rPr>
          <w:rFonts w:hint="eastAsia"/>
        </w:rPr>
        <w:t>营养保健学；</w:t>
      </w:r>
    </w:p>
    <w:p w14:paraId="56738086">
      <w:pPr>
        <w:pStyle w:val="132"/>
      </w:pPr>
      <w:r>
        <w:rPr>
          <w:rFonts w:hint="eastAsia"/>
        </w:rPr>
        <w:t>健身类课程等。</w:t>
      </w:r>
    </w:p>
    <w:p w14:paraId="4BE4D9CF">
      <w:pPr>
        <w:pStyle w:val="164"/>
      </w:pPr>
      <w:r>
        <w:rPr>
          <w:rFonts w:hint="eastAsia"/>
        </w:rPr>
        <w:t>所设课程应做好开课的调查和论证，课程体系应兼顾知识型、保健型、休闲型，符合教育本质、时代发展和军休干部需求。</w:t>
      </w:r>
    </w:p>
    <w:p w14:paraId="06D5A170">
      <w:pPr>
        <w:pStyle w:val="164"/>
      </w:pPr>
      <w:r>
        <w:rPr>
          <w:rFonts w:hint="eastAsia"/>
        </w:rPr>
        <w:t>应长期有计划开设思想政治、党史、军史、时事政策、社会主义核心价值体系教育课程和风范长者教育课程。</w:t>
      </w:r>
    </w:p>
    <w:p w14:paraId="027C413A">
      <w:pPr>
        <w:pStyle w:val="164"/>
      </w:pPr>
      <w:r>
        <w:rPr>
          <w:rFonts w:hint="eastAsia"/>
        </w:rPr>
        <w:t>应形成公共课程与专业课程相结合，基础课程与提高课程相配套的课程结构。</w:t>
      </w:r>
    </w:p>
    <w:p w14:paraId="4FBCAFA7">
      <w:pPr>
        <w:pStyle w:val="164"/>
      </w:pPr>
      <w:r>
        <w:rPr>
          <w:rFonts w:hint="eastAsia"/>
        </w:rPr>
        <w:t>应建立积极稳妥的军休老年大学发展中长期规划，制定切实可行的年度发展目标和落实措施。</w:t>
      </w:r>
    </w:p>
    <w:p w14:paraId="15A9FEBE">
      <w:pPr>
        <w:pStyle w:val="164"/>
      </w:pPr>
      <w:r>
        <w:rPr>
          <w:rFonts w:hint="eastAsia"/>
        </w:rPr>
        <w:t>所开课程应有教学大纲和进度安排，有自编或指定教材。</w:t>
      </w:r>
    </w:p>
    <w:p w14:paraId="5C690A4F">
      <w:pPr>
        <w:pStyle w:val="164"/>
      </w:pPr>
      <w:r>
        <w:rPr>
          <w:rFonts w:hint="eastAsia"/>
        </w:rPr>
        <w:t>所有课程应明确修业年限、毕结业制度和培育制度。</w:t>
      </w:r>
    </w:p>
    <w:p w14:paraId="615558C8">
      <w:pPr>
        <w:pStyle w:val="164"/>
      </w:pPr>
      <w:r>
        <w:rPr>
          <w:rFonts w:hint="eastAsia"/>
        </w:rPr>
        <w:t>对课堂教学质量应建立科学有效的监控、管理、质量评估办法并实施。</w:t>
      </w:r>
    </w:p>
    <w:p w14:paraId="18887C32">
      <w:pPr>
        <w:pStyle w:val="105"/>
        <w:spacing w:before="156" w:after="156"/>
      </w:pPr>
      <w:bookmarkStart w:id="75" w:name="_Toc89957581"/>
      <w:bookmarkStart w:id="76" w:name="_Toc89940229"/>
      <w:r>
        <w:rPr>
          <w:rFonts w:hint="eastAsia"/>
        </w:rPr>
        <w:t>法律援助服务</w:t>
      </w:r>
      <w:bookmarkEnd w:id="75"/>
      <w:bookmarkEnd w:id="76"/>
    </w:p>
    <w:p w14:paraId="34B7BCF0">
      <w:pPr>
        <w:pStyle w:val="165"/>
      </w:pPr>
      <w:r>
        <w:rPr>
          <w:rFonts w:hint="eastAsia"/>
        </w:rPr>
        <w:t>提供法律援助应坚持以下基本原则：</w:t>
      </w:r>
    </w:p>
    <w:p w14:paraId="2EE45AE0">
      <w:pPr>
        <w:pStyle w:val="174"/>
        <w:numPr>
          <w:ilvl w:val="0"/>
          <w:numId w:val="45"/>
        </w:numPr>
      </w:pPr>
      <w:r>
        <w:rPr>
          <w:rFonts w:hint="eastAsia"/>
        </w:rPr>
        <w:t>个人自愿原则；</w:t>
      </w:r>
    </w:p>
    <w:p w14:paraId="6FC825BF">
      <w:pPr>
        <w:pStyle w:val="174"/>
      </w:pPr>
      <w:r>
        <w:rPr>
          <w:rFonts w:hint="eastAsia"/>
        </w:rPr>
        <w:t>义务援助为主、购买服务为辅。</w:t>
      </w:r>
    </w:p>
    <w:p w14:paraId="0344A6E2">
      <w:pPr>
        <w:pStyle w:val="165"/>
      </w:pPr>
      <w:r>
        <w:rPr>
          <w:rFonts w:hint="eastAsia"/>
        </w:rPr>
        <w:t>法律援助的申请范围，包含但不仅限于：</w:t>
      </w:r>
    </w:p>
    <w:p w14:paraId="547CF639">
      <w:pPr>
        <w:pStyle w:val="132"/>
      </w:pPr>
      <w:r>
        <w:rPr>
          <w:rFonts w:hint="eastAsia"/>
        </w:rPr>
        <w:t>请求给付赡养费、抚养费、扶养费的；</w:t>
      </w:r>
    </w:p>
    <w:p w14:paraId="15908BEC">
      <w:pPr>
        <w:pStyle w:val="132"/>
      </w:pPr>
      <w:r>
        <w:rPr>
          <w:rFonts w:hint="eastAsia"/>
        </w:rPr>
        <w:t>请求发给抚恤金、救济金的；</w:t>
      </w:r>
    </w:p>
    <w:p w14:paraId="6C942CB7">
      <w:pPr>
        <w:pStyle w:val="132"/>
      </w:pPr>
      <w:r>
        <w:rPr>
          <w:rFonts w:hint="eastAsia"/>
        </w:rPr>
        <w:t>因交通、食品药品安全、产品质量等事故或者医疗损害、环境污染等侵权行为造成损害请求赔偿的；</w:t>
      </w:r>
    </w:p>
    <w:p w14:paraId="3151BA6D">
      <w:pPr>
        <w:pStyle w:val="132"/>
      </w:pPr>
      <w:r>
        <w:rPr>
          <w:rFonts w:hint="eastAsia"/>
        </w:rPr>
        <w:t>涉及优待抚恤、主张婚姻家庭民事权益的；</w:t>
      </w:r>
    </w:p>
    <w:p w14:paraId="747DC216">
      <w:pPr>
        <w:pStyle w:val="132"/>
      </w:pPr>
      <w:r>
        <w:rPr>
          <w:rFonts w:hint="eastAsia"/>
        </w:rPr>
        <w:t>涉及权益保障、英雄烈士保护受到损害需要请求赔偿的；</w:t>
      </w:r>
    </w:p>
    <w:p w14:paraId="36B700ED">
      <w:pPr>
        <w:pStyle w:val="132"/>
      </w:pPr>
      <w:r>
        <w:rPr>
          <w:rFonts w:hint="eastAsia"/>
        </w:rPr>
        <w:t>法律、行政法规及地方性法规规定的其他情形。</w:t>
      </w:r>
    </w:p>
    <w:p w14:paraId="76D3C9A4">
      <w:pPr>
        <w:pStyle w:val="165"/>
      </w:pPr>
      <w:r>
        <w:rPr>
          <w:rFonts w:hint="eastAsia"/>
        </w:rPr>
        <w:t>法律援助的形式，包含但不限于:</w:t>
      </w:r>
    </w:p>
    <w:p w14:paraId="4CFF8800">
      <w:pPr>
        <w:pStyle w:val="132"/>
      </w:pPr>
      <w:r>
        <w:rPr>
          <w:rFonts w:hint="eastAsia"/>
        </w:rPr>
        <w:t>法律咨询、代拟法律文书；</w:t>
      </w:r>
    </w:p>
    <w:p w14:paraId="774A1CC1">
      <w:pPr>
        <w:pStyle w:val="132"/>
      </w:pPr>
      <w:r>
        <w:rPr>
          <w:rFonts w:hint="eastAsia"/>
        </w:rPr>
        <w:t>刑事辩护、刑事代理；</w:t>
      </w:r>
    </w:p>
    <w:p w14:paraId="26C53B52">
      <w:pPr>
        <w:pStyle w:val="132"/>
      </w:pPr>
      <w:r>
        <w:rPr>
          <w:rFonts w:hint="eastAsia"/>
        </w:rPr>
        <w:t>民事诉讼代理；</w:t>
      </w:r>
    </w:p>
    <w:p w14:paraId="29C8A53C">
      <w:pPr>
        <w:pStyle w:val="132"/>
      </w:pPr>
      <w:r>
        <w:rPr>
          <w:rFonts w:hint="eastAsia"/>
        </w:rPr>
        <w:t>行政诉讼代理；</w:t>
      </w:r>
    </w:p>
    <w:p w14:paraId="7691DE86">
      <w:pPr>
        <w:pStyle w:val="132"/>
      </w:pPr>
      <w:r>
        <w:rPr>
          <w:rFonts w:hint="eastAsia"/>
        </w:rPr>
        <w:t>非诉讼法律事务代理</w:t>
      </w:r>
    </w:p>
    <w:p w14:paraId="50AB14CB">
      <w:pPr>
        <w:pStyle w:val="132"/>
      </w:pPr>
      <w:r>
        <w:rPr>
          <w:rFonts w:hint="eastAsia"/>
        </w:rPr>
        <w:t>法律法规规定的其他形式。</w:t>
      </w:r>
    </w:p>
    <w:p w14:paraId="5DAB2F44">
      <w:pPr>
        <w:pStyle w:val="165"/>
      </w:pPr>
      <w:r>
        <w:rPr>
          <w:rFonts w:hint="eastAsia"/>
        </w:rPr>
        <w:t>法律援助获取的渠道，包含但不限于：</w:t>
      </w:r>
    </w:p>
    <w:p w14:paraId="6A8EB4BA">
      <w:pPr>
        <w:pStyle w:val="132"/>
      </w:pPr>
      <w:r>
        <w:rPr>
          <w:rFonts w:hint="eastAsia"/>
        </w:rPr>
        <w:t>举办法律咨询活动；</w:t>
      </w:r>
    </w:p>
    <w:p w14:paraId="768E5C08">
      <w:pPr>
        <w:pStyle w:val="132"/>
      </w:pPr>
      <w:r>
        <w:rPr>
          <w:rFonts w:hint="eastAsia"/>
        </w:rPr>
        <w:t>成立军休机构法律援助服务工作室，由法律援助人员定期提供法律援助服务；</w:t>
      </w:r>
    </w:p>
    <w:p w14:paraId="0838D6BD">
      <w:pPr>
        <w:pStyle w:val="132"/>
      </w:pPr>
      <w:r>
        <w:rPr>
          <w:rFonts w:hint="eastAsia"/>
        </w:rPr>
        <w:t>联系法律援助人员上门为有需求的军休干部提供服务；</w:t>
      </w:r>
    </w:p>
    <w:p w14:paraId="41A41D09">
      <w:pPr>
        <w:pStyle w:val="132"/>
      </w:pPr>
      <w:r>
        <w:rPr>
          <w:rFonts w:hint="eastAsia"/>
        </w:rPr>
        <w:t>其他获取渠道。</w:t>
      </w:r>
    </w:p>
    <w:p w14:paraId="17522504">
      <w:pPr>
        <w:pStyle w:val="165"/>
      </w:pPr>
      <w:r>
        <w:rPr>
          <w:rFonts w:hint="eastAsia"/>
        </w:rPr>
        <w:t>军休干部应采用书面形式，填写申请表；以书面形式提出申请，确有困难的，可以口头申请，由军休机构或者法律援助机构工作人员，或者代为转交申请的有关机构工作人员书面记录。</w:t>
      </w:r>
    </w:p>
    <w:p w14:paraId="46AB8D3D">
      <w:pPr>
        <w:pStyle w:val="165"/>
      </w:pPr>
      <w:r>
        <w:rPr>
          <w:rFonts w:hint="eastAsia"/>
        </w:rPr>
        <w:t>法律援助的服务流程如下：</w:t>
      </w:r>
    </w:p>
    <w:p w14:paraId="7042149C">
      <w:pPr>
        <w:pStyle w:val="174"/>
        <w:numPr>
          <w:ilvl w:val="0"/>
          <w:numId w:val="46"/>
        </w:numPr>
      </w:pPr>
      <w:r>
        <w:rPr>
          <w:rFonts w:hint="eastAsia"/>
        </w:rPr>
        <w:t>军休干部申请；</w:t>
      </w:r>
    </w:p>
    <w:p w14:paraId="1721BF3B">
      <w:pPr>
        <w:pStyle w:val="174"/>
      </w:pPr>
      <w:r>
        <w:rPr>
          <w:rFonts w:hint="eastAsia"/>
        </w:rPr>
        <w:t>法律援助机构对申请进行审查；</w:t>
      </w:r>
    </w:p>
    <w:p w14:paraId="43C2B32F">
      <w:pPr>
        <w:pStyle w:val="174"/>
      </w:pPr>
      <w:r>
        <w:rPr>
          <w:rFonts w:hint="eastAsia"/>
        </w:rPr>
        <w:t>审查合格后受理案件；</w:t>
      </w:r>
    </w:p>
    <w:p w14:paraId="33986C43">
      <w:pPr>
        <w:pStyle w:val="174"/>
      </w:pPr>
      <w:r>
        <w:rPr>
          <w:rFonts w:hint="eastAsia"/>
        </w:rPr>
        <w:t>法律援助机构指派工作人员办理法律援助案件；</w:t>
      </w:r>
    </w:p>
    <w:p w14:paraId="1E4C200B">
      <w:pPr>
        <w:pStyle w:val="174"/>
      </w:pPr>
      <w:r>
        <w:rPr>
          <w:rFonts w:hint="eastAsia"/>
        </w:rPr>
        <w:t>受指派工作人员办理案件；</w:t>
      </w:r>
    </w:p>
    <w:p w14:paraId="42EB748F">
      <w:pPr>
        <w:pStyle w:val="174"/>
      </w:pPr>
      <w:r>
        <w:rPr>
          <w:rFonts w:hint="eastAsia"/>
        </w:rPr>
        <w:t>案件办理结束后，办案人员应向法律援助机构提交卷宗；</w:t>
      </w:r>
    </w:p>
    <w:p w14:paraId="2DD3B324">
      <w:pPr>
        <w:pStyle w:val="174"/>
      </w:pPr>
      <w:r>
        <w:rPr>
          <w:rFonts w:hint="eastAsia"/>
        </w:rPr>
        <w:t>法律援助机构告知军休机构办理结果；</w:t>
      </w:r>
    </w:p>
    <w:p w14:paraId="7168FA39">
      <w:pPr>
        <w:pStyle w:val="174"/>
      </w:pPr>
      <w:r>
        <w:rPr>
          <w:rFonts w:hint="eastAsia"/>
        </w:rPr>
        <w:t>军休机构应及时关注军休干部对援助过程的意见和建议，并追踪是否还有进一步的援助需求；</w:t>
      </w:r>
    </w:p>
    <w:p w14:paraId="36E0CC2A">
      <w:pPr>
        <w:pStyle w:val="174"/>
      </w:pPr>
      <w:r>
        <w:rPr>
          <w:rFonts w:hint="eastAsia"/>
        </w:rPr>
        <w:t>军休机构做好档案登记，对援助的过程书面记录归档存放。</w:t>
      </w:r>
    </w:p>
    <w:p w14:paraId="50EFE4A6">
      <w:pPr>
        <w:pStyle w:val="165"/>
      </w:pPr>
      <w:r>
        <w:rPr>
          <w:rFonts w:hint="eastAsia"/>
        </w:rPr>
        <w:t>应根据需要制定法律援助活动计划。</w:t>
      </w:r>
    </w:p>
    <w:p w14:paraId="7591C2C1">
      <w:pPr>
        <w:pStyle w:val="165"/>
      </w:pPr>
      <w:r>
        <w:rPr>
          <w:rFonts w:hint="eastAsia"/>
        </w:rPr>
        <w:t>应在办公区设立固定的法律援助服务点，为军休干部和法律援助工作人员提供便利。</w:t>
      </w:r>
    </w:p>
    <w:p w14:paraId="74EB0812">
      <w:pPr>
        <w:pStyle w:val="165"/>
      </w:pPr>
      <w:r>
        <w:rPr>
          <w:rFonts w:hint="eastAsia"/>
        </w:rPr>
        <w:t>应设立服务电话，或提供法律援助机构服务电话，为军休干部开展热线服务。</w:t>
      </w:r>
    </w:p>
    <w:p w14:paraId="31E48D27">
      <w:pPr>
        <w:pStyle w:val="165"/>
      </w:pPr>
      <w:r>
        <w:rPr>
          <w:rFonts w:hint="eastAsia"/>
        </w:rPr>
        <w:t>应做好普法宣传、为军休干部提供法律图书，方便其学习查询，开通网上法律查询和网上法律援助。</w:t>
      </w:r>
    </w:p>
    <w:p w14:paraId="77F185DA">
      <w:pPr>
        <w:pStyle w:val="165"/>
      </w:pPr>
      <w:r>
        <w:rPr>
          <w:rFonts w:hint="eastAsia"/>
        </w:rPr>
        <w:t>应积极与司法部门、当地法律援助机构和律师事务所等机构做好沟通协调工作，多方配合共同做好军休干部法律援助工作。</w:t>
      </w:r>
    </w:p>
    <w:p w14:paraId="18D5985B">
      <w:pPr>
        <w:pStyle w:val="165"/>
      </w:pPr>
      <w:r>
        <w:rPr>
          <w:rFonts w:hint="eastAsia"/>
        </w:rPr>
        <w:t>应为军休干部申请的法律援助事项进行保密。</w:t>
      </w:r>
    </w:p>
    <w:p w14:paraId="31CC36A3">
      <w:pPr>
        <w:pStyle w:val="105"/>
        <w:spacing w:before="156" w:after="156"/>
      </w:pPr>
      <w:bookmarkStart w:id="77" w:name="_Toc89940230"/>
      <w:bookmarkStart w:id="78" w:name="_Toc89957582"/>
      <w:r>
        <w:rPr>
          <w:rFonts w:hint="eastAsia"/>
        </w:rPr>
        <w:t>医养结合服务</w:t>
      </w:r>
      <w:bookmarkEnd w:id="77"/>
      <w:bookmarkEnd w:id="78"/>
    </w:p>
    <w:p w14:paraId="1C7CB403">
      <w:pPr>
        <w:pStyle w:val="165"/>
      </w:pPr>
      <w:r>
        <w:rPr>
          <w:rFonts w:hint="eastAsia"/>
        </w:rPr>
        <w:t>协调医疗卫生机构为军休干部提供以下基本医疗服务，包括但不限于：</w:t>
      </w:r>
    </w:p>
    <w:p w14:paraId="37356032">
      <w:pPr>
        <w:pStyle w:val="174"/>
        <w:numPr>
          <w:ilvl w:val="0"/>
          <w:numId w:val="47"/>
        </w:numPr>
      </w:pPr>
      <w:r>
        <w:rPr>
          <w:rFonts w:hint="eastAsia"/>
        </w:rPr>
        <w:t>医疗巡诊；</w:t>
      </w:r>
    </w:p>
    <w:p w14:paraId="53F94494">
      <w:pPr>
        <w:pStyle w:val="174"/>
      </w:pPr>
      <w:r>
        <w:rPr>
          <w:rFonts w:hint="eastAsia"/>
        </w:rPr>
        <w:t>健康管理；</w:t>
      </w:r>
    </w:p>
    <w:p w14:paraId="3F272D25">
      <w:pPr>
        <w:pStyle w:val="174"/>
      </w:pPr>
      <w:r>
        <w:rPr>
          <w:rFonts w:hint="eastAsia"/>
        </w:rPr>
        <w:t>保健咨询；</w:t>
      </w:r>
    </w:p>
    <w:p w14:paraId="12589646">
      <w:pPr>
        <w:pStyle w:val="174"/>
      </w:pPr>
      <w:r>
        <w:rPr>
          <w:rFonts w:hint="eastAsia"/>
        </w:rPr>
        <w:t>预约就诊；</w:t>
      </w:r>
    </w:p>
    <w:p w14:paraId="0C4C3691">
      <w:pPr>
        <w:pStyle w:val="174"/>
      </w:pPr>
      <w:r>
        <w:rPr>
          <w:rFonts w:hint="eastAsia"/>
        </w:rPr>
        <w:t>中医养生保健等。</w:t>
      </w:r>
    </w:p>
    <w:p w14:paraId="2AE6D844">
      <w:pPr>
        <w:pStyle w:val="165"/>
      </w:pPr>
      <w:r>
        <w:rPr>
          <w:rFonts w:hint="eastAsia"/>
        </w:rPr>
        <w:t>协调基层医疗机构优先为辖区军休干部提供以下基本公共卫生服务，包括但不限于：</w:t>
      </w:r>
    </w:p>
    <w:p w14:paraId="18BAC80A">
      <w:pPr>
        <w:pStyle w:val="174"/>
        <w:numPr>
          <w:ilvl w:val="0"/>
          <w:numId w:val="48"/>
        </w:numPr>
      </w:pPr>
      <w:r>
        <w:rPr>
          <w:rFonts w:hint="eastAsia"/>
        </w:rPr>
        <w:t>老年人健康管理；</w:t>
      </w:r>
    </w:p>
    <w:p w14:paraId="7D8E64BF">
      <w:pPr>
        <w:pStyle w:val="174"/>
      </w:pPr>
      <w:r>
        <w:rPr>
          <w:rFonts w:hint="eastAsia"/>
        </w:rPr>
        <w:t>高血压健康管理；</w:t>
      </w:r>
    </w:p>
    <w:p w14:paraId="723A2585">
      <w:pPr>
        <w:pStyle w:val="174"/>
      </w:pPr>
      <w:r>
        <w:rPr>
          <w:rFonts w:hint="eastAsia"/>
        </w:rPr>
        <w:t>Ⅱ型糖尿病患者健康管理；</w:t>
      </w:r>
    </w:p>
    <w:p w14:paraId="7CBC079D">
      <w:pPr>
        <w:pStyle w:val="174"/>
      </w:pPr>
      <w:r>
        <w:rPr>
          <w:rFonts w:hint="eastAsia"/>
        </w:rPr>
        <w:t>中医药健康管理；</w:t>
      </w:r>
    </w:p>
    <w:p w14:paraId="2AF40CCC">
      <w:pPr>
        <w:pStyle w:val="174"/>
      </w:pPr>
      <w:r>
        <w:rPr>
          <w:rFonts w:hint="eastAsia"/>
        </w:rPr>
        <w:t>健康教育等。</w:t>
      </w:r>
    </w:p>
    <w:p w14:paraId="5692846C">
      <w:pPr>
        <w:pStyle w:val="165"/>
      </w:pPr>
      <w:r>
        <w:rPr>
          <w:rFonts w:hint="eastAsia"/>
        </w:rPr>
        <w:t>协调医疗卫生机构为军休干部提供以下医疗便利及服务，包括但不限于：</w:t>
      </w:r>
    </w:p>
    <w:p w14:paraId="3006851C">
      <w:pPr>
        <w:pStyle w:val="174"/>
        <w:numPr>
          <w:ilvl w:val="0"/>
          <w:numId w:val="49"/>
        </w:numPr>
      </w:pPr>
      <w:r>
        <w:rPr>
          <w:rFonts w:hint="eastAsia"/>
        </w:rPr>
        <w:t>开通挂号、查体、住院、急诊等绿色通道；</w:t>
      </w:r>
    </w:p>
    <w:p w14:paraId="0F1E73DE">
      <w:pPr>
        <w:pStyle w:val="174"/>
      </w:pPr>
      <w:r>
        <w:rPr>
          <w:rFonts w:hint="eastAsia"/>
        </w:rPr>
        <w:t>为高龄、重病、失能、失智军休干部提供就诊治疗、家庭病床、护理、心理慰藉等连续性的健康管理和医疗服务；</w:t>
      </w:r>
    </w:p>
    <w:p w14:paraId="4438E12A">
      <w:pPr>
        <w:pStyle w:val="174"/>
      </w:pPr>
      <w:r>
        <w:rPr>
          <w:rFonts w:hint="eastAsia"/>
        </w:rPr>
        <w:t>陪同就医等。</w:t>
      </w:r>
    </w:p>
    <w:p w14:paraId="251E5B73">
      <w:pPr>
        <w:pStyle w:val="165"/>
      </w:pPr>
      <w:r>
        <w:rPr>
          <w:rFonts w:hint="eastAsia"/>
        </w:rPr>
        <w:t>协调医疗卫生机构优先在有条件的军休干部集中居住区域或军休机构设置医疗门诊或服务站点。</w:t>
      </w:r>
    </w:p>
    <w:p w14:paraId="003A72D2">
      <w:pPr>
        <w:pStyle w:val="165"/>
      </w:pPr>
      <w:r>
        <w:rPr>
          <w:rFonts w:hint="eastAsia"/>
        </w:rPr>
        <w:t>建立军休干部日常巡诊制度。采取自愿签约家庭医生，设立家庭病床等形式提供以下上门诊疗服务，包括但不限于：</w:t>
      </w:r>
    </w:p>
    <w:p w14:paraId="79529F8E">
      <w:pPr>
        <w:pStyle w:val="174"/>
        <w:numPr>
          <w:ilvl w:val="0"/>
          <w:numId w:val="50"/>
        </w:numPr>
      </w:pPr>
      <w:r>
        <w:rPr>
          <w:rFonts w:hint="eastAsia"/>
        </w:rPr>
        <w:t>定期巡诊：</w:t>
      </w:r>
    </w:p>
    <w:p w14:paraId="44463011">
      <w:pPr>
        <w:pStyle w:val="174"/>
      </w:pPr>
      <w:r>
        <w:rPr>
          <w:rFonts w:hint="eastAsia"/>
        </w:rPr>
        <w:t>家庭护理；</w:t>
      </w:r>
    </w:p>
    <w:p w14:paraId="5C7A991F">
      <w:pPr>
        <w:pStyle w:val="174"/>
      </w:pPr>
      <w:r>
        <w:rPr>
          <w:rFonts w:hint="eastAsia"/>
        </w:rPr>
        <w:t>病床医疗；</w:t>
      </w:r>
    </w:p>
    <w:p w14:paraId="0357227E">
      <w:pPr>
        <w:pStyle w:val="174"/>
      </w:pPr>
      <w:r>
        <w:rPr>
          <w:rFonts w:hint="eastAsia"/>
        </w:rPr>
        <w:t>康复医疗；</w:t>
      </w:r>
    </w:p>
    <w:p w14:paraId="3C0733B4">
      <w:pPr>
        <w:pStyle w:val="174"/>
      </w:pPr>
      <w:r>
        <w:rPr>
          <w:rFonts w:hint="eastAsia"/>
        </w:rPr>
        <w:t>健康医疗康复咨询；</w:t>
      </w:r>
    </w:p>
    <w:p w14:paraId="6AD8E308">
      <w:pPr>
        <w:pStyle w:val="174"/>
      </w:pPr>
      <w:r>
        <w:rPr>
          <w:rFonts w:hint="eastAsia"/>
        </w:rPr>
        <w:t>疾病预防等。</w:t>
      </w:r>
    </w:p>
    <w:p w14:paraId="6F4D1B73">
      <w:pPr>
        <w:pStyle w:val="165"/>
      </w:pPr>
      <w:r>
        <w:rPr>
          <w:rFonts w:hint="eastAsia"/>
        </w:rPr>
        <w:t>定期组织健康体检。每年应组织军休干部至少1次健康体检。</w:t>
      </w:r>
    </w:p>
    <w:p w14:paraId="4DD787F1">
      <w:pPr>
        <w:pStyle w:val="165"/>
      </w:pPr>
      <w:r>
        <w:rPr>
          <w:rFonts w:hint="eastAsia"/>
        </w:rPr>
        <w:t>依托养老机构等服务载体，为军休干部提供以下基本养老服务，包括但不限于：</w:t>
      </w:r>
    </w:p>
    <w:p w14:paraId="733ECEC5">
      <w:pPr>
        <w:pStyle w:val="174"/>
        <w:numPr>
          <w:ilvl w:val="0"/>
          <w:numId w:val="51"/>
        </w:numPr>
      </w:pPr>
      <w:r>
        <w:rPr>
          <w:rFonts w:hint="eastAsia"/>
        </w:rPr>
        <w:t>日间照料；</w:t>
      </w:r>
    </w:p>
    <w:p w14:paraId="5A5AC813">
      <w:pPr>
        <w:pStyle w:val="174"/>
      </w:pPr>
      <w:r>
        <w:rPr>
          <w:rFonts w:hint="eastAsia"/>
        </w:rPr>
        <w:t>短期托养；</w:t>
      </w:r>
    </w:p>
    <w:p w14:paraId="20915EB0">
      <w:pPr>
        <w:pStyle w:val="174"/>
      </w:pPr>
      <w:r>
        <w:rPr>
          <w:rFonts w:hint="eastAsia"/>
        </w:rPr>
        <w:t>专业生活照料；</w:t>
      </w:r>
    </w:p>
    <w:p w14:paraId="2919C985">
      <w:pPr>
        <w:pStyle w:val="174"/>
      </w:pPr>
      <w:r>
        <w:rPr>
          <w:rFonts w:hint="eastAsia"/>
        </w:rPr>
        <w:t>护理服务；</w:t>
      </w:r>
    </w:p>
    <w:p w14:paraId="231F1358">
      <w:pPr>
        <w:pStyle w:val="174"/>
      </w:pPr>
      <w:r>
        <w:rPr>
          <w:rFonts w:hint="eastAsia"/>
        </w:rPr>
        <w:t>助餐服务；</w:t>
      </w:r>
    </w:p>
    <w:p w14:paraId="2F6832AA">
      <w:pPr>
        <w:pStyle w:val="174"/>
      </w:pPr>
      <w:r>
        <w:rPr>
          <w:rFonts w:hint="eastAsia"/>
        </w:rPr>
        <w:t>呼叫服务；</w:t>
      </w:r>
    </w:p>
    <w:p w14:paraId="5AD5B6C7">
      <w:pPr>
        <w:pStyle w:val="174"/>
      </w:pPr>
      <w:r>
        <w:rPr>
          <w:rFonts w:hint="eastAsia"/>
        </w:rPr>
        <w:t>文化娱乐；</w:t>
      </w:r>
    </w:p>
    <w:p w14:paraId="74700214">
      <w:pPr>
        <w:pStyle w:val="174"/>
      </w:pPr>
      <w:r>
        <w:rPr>
          <w:rFonts w:hint="eastAsia"/>
        </w:rPr>
        <w:t>残疾人照料等。</w:t>
      </w:r>
    </w:p>
    <w:p w14:paraId="6683A2F1">
      <w:pPr>
        <w:pStyle w:val="165"/>
      </w:pPr>
      <w:r>
        <w:rPr>
          <w:rFonts w:hint="eastAsia"/>
        </w:rPr>
        <w:t>与优质家政企业合作，为军休干部提供以下日常居家服务，包括但不限于：</w:t>
      </w:r>
    </w:p>
    <w:p w14:paraId="76791801">
      <w:pPr>
        <w:pStyle w:val="174"/>
        <w:numPr>
          <w:ilvl w:val="0"/>
          <w:numId w:val="52"/>
        </w:numPr>
      </w:pPr>
      <w:r>
        <w:rPr>
          <w:rFonts w:hint="eastAsia"/>
        </w:rPr>
        <w:t>陪伴护理；</w:t>
      </w:r>
    </w:p>
    <w:p w14:paraId="54672791">
      <w:pPr>
        <w:pStyle w:val="174"/>
      </w:pPr>
      <w:r>
        <w:rPr>
          <w:rFonts w:hint="eastAsia"/>
        </w:rPr>
        <w:t>生活照料；</w:t>
      </w:r>
    </w:p>
    <w:p w14:paraId="7D39A168">
      <w:pPr>
        <w:pStyle w:val="174"/>
      </w:pPr>
      <w:r>
        <w:rPr>
          <w:rFonts w:hint="eastAsia"/>
        </w:rPr>
        <w:t>助洁服务；</w:t>
      </w:r>
    </w:p>
    <w:p w14:paraId="0519D1DA">
      <w:pPr>
        <w:pStyle w:val="174"/>
      </w:pPr>
      <w:r>
        <w:rPr>
          <w:rFonts w:hint="eastAsia"/>
        </w:rPr>
        <w:t>助浴服务；</w:t>
      </w:r>
    </w:p>
    <w:p w14:paraId="3DF74030">
      <w:pPr>
        <w:pStyle w:val="174"/>
      </w:pPr>
      <w:r>
        <w:rPr>
          <w:rFonts w:hint="eastAsia"/>
        </w:rPr>
        <w:t>助行服务；</w:t>
      </w:r>
    </w:p>
    <w:p w14:paraId="1A4961DE">
      <w:pPr>
        <w:pStyle w:val="174"/>
      </w:pPr>
      <w:r>
        <w:rPr>
          <w:rFonts w:hint="eastAsia"/>
        </w:rPr>
        <w:t>助医服务；</w:t>
      </w:r>
    </w:p>
    <w:p w14:paraId="3CFC05A4">
      <w:pPr>
        <w:pStyle w:val="174"/>
      </w:pPr>
      <w:r>
        <w:rPr>
          <w:rFonts w:hint="eastAsia"/>
        </w:rPr>
        <w:t>便民服务等。</w:t>
      </w:r>
    </w:p>
    <w:p w14:paraId="77B77FEE">
      <w:pPr>
        <w:pStyle w:val="165"/>
      </w:pPr>
      <w:r>
        <w:rPr>
          <w:rFonts w:hint="eastAsia"/>
        </w:rPr>
        <w:t>协调医疗机构和养老机构或其它社会组织、公益组织、志愿者，为军休干部提供心理健康服务包括但不限于以下基本内容：</w:t>
      </w:r>
    </w:p>
    <w:p w14:paraId="17406FF3">
      <w:pPr>
        <w:pStyle w:val="174"/>
        <w:numPr>
          <w:ilvl w:val="0"/>
          <w:numId w:val="53"/>
        </w:numPr>
      </w:pPr>
      <w:r>
        <w:rPr>
          <w:rFonts w:hint="eastAsia"/>
        </w:rPr>
        <w:t>心理咨询；</w:t>
      </w:r>
    </w:p>
    <w:p w14:paraId="615EDA31">
      <w:pPr>
        <w:pStyle w:val="174"/>
      </w:pPr>
      <w:r>
        <w:rPr>
          <w:rFonts w:hint="eastAsia"/>
        </w:rPr>
        <w:t>情绪疏导；</w:t>
      </w:r>
    </w:p>
    <w:p w14:paraId="7D4B1AF4">
      <w:pPr>
        <w:pStyle w:val="174"/>
      </w:pPr>
      <w:r>
        <w:rPr>
          <w:rFonts w:hint="eastAsia"/>
        </w:rPr>
        <w:t>心理支持；</w:t>
      </w:r>
    </w:p>
    <w:p w14:paraId="3206F520">
      <w:pPr>
        <w:pStyle w:val="174"/>
      </w:pPr>
      <w:r>
        <w:rPr>
          <w:rFonts w:hint="eastAsia"/>
        </w:rPr>
        <w:t>精神慰藉；</w:t>
      </w:r>
    </w:p>
    <w:p w14:paraId="318FA487">
      <w:pPr>
        <w:pStyle w:val="174"/>
      </w:pPr>
      <w:r>
        <w:rPr>
          <w:rFonts w:hint="eastAsia"/>
        </w:rPr>
        <w:t>危机干预；</w:t>
      </w:r>
    </w:p>
    <w:p w14:paraId="01427EEA">
      <w:pPr>
        <w:pStyle w:val="174"/>
      </w:pPr>
      <w:r>
        <w:rPr>
          <w:rFonts w:hint="eastAsia"/>
        </w:rPr>
        <w:t>安宁疗护。</w:t>
      </w:r>
    </w:p>
    <w:p w14:paraId="70E8F092">
      <w:pPr>
        <w:pStyle w:val="165"/>
      </w:pPr>
      <w:r>
        <w:rPr>
          <w:rFonts w:hint="eastAsia"/>
        </w:rPr>
        <w:t>充分利用信息技术，通过开通服务热线、搭建智能化服务平台、加装紧急呼叫装置、远程就诊指导、实施紧急救助等，开展医养结合信息化智能服务。</w:t>
      </w:r>
    </w:p>
    <w:p w14:paraId="50C7A1AA">
      <w:pPr>
        <w:pStyle w:val="165"/>
      </w:pPr>
      <w:r>
        <w:rPr>
          <w:rFonts w:hint="eastAsia"/>
        </w:rPr>
        <w:t>有条件的，可依托当地医养健康产业发展规划和资源优势，打造集休闲、养生、旅游、健身、康乐等于一体的军休干部医养结合综合服务体；或设立养老服务中心或服务站（点），开展相应服务。</w:t>
      </w:r>
    </w:p>
    <w:p w14:paraId="4CE6EB53">
      <w:pPr>
        <w:pStyle w:val="105"/>
        <w:spacing w:before="156" w:after="156"/>
      </w:pPr>
      <w:bookmarkStart w:id="79" w:name="_Toc89957583"/>
      <w:bookmarkStart w:id="80" w:name="_Toc89940231"/>
      <w:r>
        <w:rPr>
          <w:rFonts w:hint="eastAsia"/>
        </w:rPr>
        <w:t>社会作用发挥</w:t>
      </w:r>
      <w:bookmarkEnd w:id="79"/>
      <w:bookmarkEnd w:id="80"/>
    </w:p>
    <w:p w14:paraId="42273ECD">
      <w:pPr>
        <w:pStyle w:val="165"/>
      </w:pPr>
      <w:r>
        <w:rPr>
          <w:rFonts w:hint="eastAsia"/>
        </w:rPr>
        <w:t>充分发挥军休干部积极性、主动性、创造性，充分尊重个人自我实现的愿望，引导军休干部进行自我管理和自我服务。</w:t>
      </w:r>
    </w:p>
    <w:p w14:paraId="0DD663E9">
      <w:pPr>
        <w:pStyle w:val="165"/>
      </w:pPr>
      <w:r>
        <w:rPr>
          <w:rFonts w:hint="eastAsia"/>
        </w:rPr>
        <w:t>充分发挥军休干部政治优势、经验优势、威望优势、专业特长优势，以自愿为前提，建设具有特色优势的军休智库。</w:t>
      </w:r>
    </w:p>
    <w:p w14:paraId="62C1F128">
      <w:pPr>
        <w:pStyle w:val="165"/>
      </w:pPr>
      <w:r>
        <w:rPr>
          <w:rFonts w:hint="eastAsia"/>
        </w:rPr>
        <w:t>根据需要采取主动邀请、公开征集等方式，主动邀请符合条件的军休干部加入军休智库。</w:t>
      </w:r>
    </w:p>
    <w:p w14:paraId="630E12AB">
      <w:pPr>
        <w:pStyle w:val="165"/>
      </w:pPr>
      <w:r>
        <w:rPr>
          <w:rFonts w:hint="eastAsia"/>
        </w:rPr>
        <w:t>应根据“择优选取、动态调整、突出专业、注重实效”的原则，对智库成员进行遴选。</w:t>
      </w:r>
    </w:p>
    <w:p w14:paraId="6F36A325">
      <w:pPr>
        <w:pStyle w:val="165"/>
      </w:pPr>
      <w:r>
        <w:rPr>
          <w:rFonts w:hint="eastAsia"/>
        </w:rPr>
        <w:t>军休智库实行动态更新机制，应每年对军休智库进行补录和更新，不符合条件的应予以退出。</w:t>
      </w:r>
    </w:p>
    <w:p w14:paraId="5F09F54A">
      <w:pPr>
        <w:pStyle w:val="165"/>
      </w:pPr>
      <w:r>
        <w:rPr>
          <w:rFonts w:hint="eastAsia"/>
        </w:rPr>
        <w:t>军休智库应由专人进行管理，并接受来自内部和社会的监督。</w:t>
      </w:r>
    </w:p>
    <w:p w14:paraId="77BB11FF">
      <w:pPr>
        <w:pStyle w:val="165"/>
      </w:pPr>
      <w:r>
        <w:rPr>
          <w:rFonts w:hint="eastAsia"/>
        </w:rPr>
        <w:t>应加强对使用军休智库的信息安全管理。</w:t>
      </w:r>
    </w:p>
    <w:p w14:paraId="6F9EB3B8">
      <w:pPr>
        <w:pStyle w:val="165"/>
      </w:pPr>
      <w:r>
        <w:rPr>
          <w:rFonts w:hint="eastAsia"/>
        </w:rPr>
        <w:t>应充分利用军休干部熟知国防知识的优势，协调相关单位，组织其积极参加国防教研宣讲、国防教育志愿、“国防大讲堂”等国防教育活动。</w:t>
      </w:r>
    </w:p>
    <w:p w14:paraId="5F78C3C9">
      <w:pPr>
        <w:pStyle w:val="165"/>
        <w:rPr>
          <w:highlight w:val="none"/>
        </w:rPr>
      </w:pPr>
      <w:r>
        <w:rPr>
          <w:rFonts w:hint="eastAsia"/>
          <w:highlight w:val="none"/>
        </w:rPr>
        <w:t>可组织和聘请军休干部，采取多种表现形式，展示和宣传红色文化，传播红色基因，更好地弘扬、培育</w:t>
      </w:r>
      <w:r>
        <w:rPr>
          <w:rFonts w:hint="eastAsia"/>
          <w:highlight w:val="none"/>
          <w:lang w:eastAsia="zh-CN"/>
        </w:rPr>
        <w:t>和</w:t>
      </w:r>
      <w:r>
        <w:rPr>
          <w:rFonts w:hint="eastAsia"/>
          <w:highlight w:val="none"/>
        </w:rPr>
        <w:t>践行社会主义核心价值观。</w:t>
      </w:r>
    </w:p>
    <w:p w14:paraId="2429DB7D">
      <w:pPr>
        <w:pStyle w:val="165"/>
      </w:pPr>
      <w:r>
        <w:rPr>
          <w:rFonts w:hint="eastAsia"/>
        </w:rPr>
        <w:t>可对接相关社会工作机构，秉承合法、自愿、无偿、平等、诚信等原则，搭建志愿者服务平台，建立志愿者服务组织，积极推动军休干部充当志</w:t>
      </w:r>
      <w:bookmarkStart w:id="118" w:name="_GoBack"/>
      <w:bookmarkEnd w:id="118"/>
      <w:r>
        <w:rPr>
          <w:rFonts w:hint="eastAsia"/>
        </w:rPr>
        <w:t>愿者，为社会提供各类志愿服务。</w:t>
      </w:r>
    </w:p>
    <w:p w14:paraId="1EB95E07">
      <w:pPr>
        <w:pStyle w:val="165"/>
      </w:pPr>
      <w:r>
        <w:rPr>
          <w:rFonts w:hint="eastAsia"/>
        </w:rPr>
        <w:t>可采取组织发动、典型带动、表彰引领等方式，鼓励军休干部积极投身关心下一代工作，着力加强青少年思想道德建设和理想信念教育，营造良好的社会氛围。</w:t>
      </w:r>
    </w:p>
    <w:p w14:paraId="6569BBDD">
      <w:pPr>
        <w:pStyle w:val="165"/>
      </w:pPr>
      <w:r>
        <w:rPr>
          <w:rFonts w:hint="eastAsia"/>
        </w:rPr>
        <w:t>应鼓励引导军休干部走进社区，通过法定程序担任社区居委会成员、居务监督委员会成员、业主委员会成员、网格长、楼长、居民代表等职务，参与社区服务和管理。</w:t>
      </w:r>
    </w:p>
    <w:p w14:paraId="799DF91B">
      <w:pPr>
        <w:pStyle w:val="165"/>
      </w:pPr>
      <w:r>
        <w:rPr>
          <w:rFonts w:hint="eastAsia"/>
        </w:rPr>
        <w:t>应鼓励军休干部积极建言献策，参与社会治理工作，促进社会和谐。</w:t>
      </w:r>
    </w:p>
    <w:p w14:paraId="1E5E45EE">
      <w:pPr>
        <w:pStyle w:val="104"/>
        <w:spacing w:before="312" w:after="312"/>
      </w:pPr>
      <w:bookmarkStart w:id="81" w:name="_Toc89957584"/>
      <w:bookmarkStart w:id="82" w:name="_Toc89940232"/>
      <w:r>
        <w:rPr>
          <w:rFonts w:hint="eastAsia"/>
        </w:rPr>
        <w:t>服务管理要求</w:t>
      </w:r>
      <w:bookmarkEnd w:id="81"/>
      <w:bookmarkEnd w:id="82"/>
    </w:p>
    <w:p w14:paraId="4D79A994">
      <w:pPr>
        <w:pStyle w:val="105"/>
        <w:spacing w:before="156" w:after="156"/>
      </w:pPr>
      <w:bookmarkStart w:id="83" w:name="_Toc89957585"/>
      <w:bookmarkStart w:id="84" w:name="_Toc89940233"/>
      <w:r>
        <w:rPr>
          <w:rFonts w:hint="eastAsia"/>
        </w:rPr>
        <w:t>制度和文化建设</w:t>
      </w:r>
      <w:bookmarkEnd w:id="83"/>
      <w:bookmarkEnd w:id="84"/>
    </w:p>
    <w:p w14:paraId="2970AB3D">
      <w:pPr>
        <w:pStyle w:val="165"/>
      </w:pPr>
      <w:r>
        <w:rPr>
          <w:rFonts w:hint="eastAsia"/>
        </w:rPr>
        <w:t>应建立并完善军休机构的各项管理制度，包括但不限于：</w:t>
      </w:r>
    </w:p>
    <w:p w14:paraId="37A00F0B">
      <w:pPr>
        <w:pStyle w:val="132"/>
      </w:pPr>
      <w:r>
        <w:rPr>
          <w:rFonts w:hint="eastAsia"/>
        </w:rPr>
        <w:t>行政管理制度；</w:t>
      </w:r>
    </w:p>
    <w:p w14:paraId="46E26C32">
      <w:pPr>
        <w:pStyle w:val="132"/>
      </w:pPr>
      <w:r>
        <w:rPr>
          <w:rFonts w:hint="eastAsia"/>
        </w:rPr>
        <w:t>财务管理制度；</w:t>
      </w:r>
    </w:p>
    <w:p w14:paraId="23D6ADAC">
      <w:pPr>
        <w:pStyle w:val="132"/>
      </w:pPr>
      <w:r>
        <w:rPr>
          <w:rFonts w:hint="eastAsia"/>
        </w:rPr>
        <w:t>人事管理制度；</w:t>
      </w:r>
    </w:p>
    <w:p w14:paraId="45F2DD29">
      <w:pPr>
        <w:pStyle w:val="132"/>
      </w:pPr>
      <w:r>
        <w:rPr>
          <w:rFonts w:hint="eastAsia"/>
        </w:rPr>
        <w:t>档案保存和保密机制；</w:t>
      </w:r>
    </w:p>
    <w:p w14:paraId="44B427F6">
      <w:pPr>
        <w:pStyle w:val="132"/>
      </w:pPr>
      <w:r>
        <w:rPr>
          <w:rFonts w:hint="eastAsia"/>
        </w:rPr>
        <w:t>军休干部需求评估制度；</w:t>
      </w:r>
    </w:p>
    <w:p w14:paraId="549E257C">
      <w:pPr>
        <w:pStyle w:val="132"/>
      </w:pPr>
      <w:r>
        <w:rPr>
          <w:rFonts w:hint="eastAsia"/>
        </w:rPr>
        <w:t>服务流程管理制度；</w:t>
      </w:r>
    </w:p>
    <w:p w14:paraId="04B803DE">
      <w:pPr>
        <w:pStyle w:val="132"/>
      </w:pPr>
      <w:r>
        <w:rPr>
          <w:rFonts w:hint="eastAsia"/>
        </w:rPr>
        <w:t>服务质量评价与改进制度；</w:t>
      </w:r>
    </w:p>
    <w:p w14:paraId="7CC91BA9">
      <w:pPr>
        <w:pStyle w:val="132"/>
      </w:pPr>
      <w:r>
        <w:rPr>
          <w:rFonts w:hint="eastAsia"/>
        </w:rPr>
        <w:t>应急事件处理及联动方案。</w:t>
      </w:r>
    </w:p>
    <w:p w14:paraId="299C7985">
      <w:pPr>
        <w:pStyle w:val="165"/>
      </w:pPr>
      <w:r>
        <w:rPr>
          <w:rFonts w:hint="eastAsia"/>
        </w:rPr>
        <w:t>应注重加强军休文化建设，丰富军休文化生活，培育和践行社会主义核心价值观，积极打造军休服务品牌，具体包括：</w:t>
      </w:r>
    </w:p>
    <w:p w14:paraId="639448C7">
      <w:pPr>
        <w:pStyle w:val="132"/>
      </w:pPr>
      <w:r>
        <w:rPr>
          <w:rFonts w:hint="eastAsia"/>
        </w:rPr>
        <w:t>建立健全文体组织；</w:t>
      </w:r>
    </w:p>
    <w:p w14:paraId="29295567">
      <w:pPr>
        <w:pStyle w:val="132"/>
      </w:pPr>
      <w:r>
        <w:rPr>
          <w:rFonts w:hint="eastAsia"/>
        </w:rPr>
        <w:t>拟定年度活动计划；</w:t>
      </w:r>
    </w:p>
    <w:p w14:paraId="38C5A79D">
      <w:pPr>
        <w:pStyle w:val="132"/>
      </w:pPr>
      <w:r>
        <w:rPr>
          <w:rFonts w:hint="eastAsia"/>
        </w:rPr>
        <w:t>加强军休文化宣传；</w:t>
      </w:r>
    </w:p>
    <w:p w14:paraId="05B32A31">
      <w:pPr>
        <w:pStyle w:val="132"/>
      </w:pPr>
      <w:r>
        <w:rPr>
          <w:rFonts w:hint="eastAsia"/>
        </w:rPr>
        <w:t>加强文化载体建设；</w:t>
      </w:r>
    </w:p>
    <w:p w14:paraId="7F92E9C4">
      <w:pPr>
        <w:pStyle w:val="132"/>
      </w:pPr>
      <w:r>
        <w:rPr>
          <w:rFonts w:hint="eastAsia"/>
        </w:rPr>
        <w:t>深化军休文化内涵；</w:t>
      </w:r>
    </w:p>
    <w:p w14:paraId="38F236D9">
      <w:pPr>
        <w:pStyle w:val="132"/>
      </w:pPr>
      <w:r>
        <w:rPr>
          <w:rFonts w:hint="eastAsia"/>
        </w:rPr>
        <w:t>促进精神文明创建；</w:t>
      </w:r>
    </w:p>
    <w:p w14:paraId="10F04184">
      <w:pPr>
        <w:pStyle w:val="132"/>
      </w:pPr>
      <w:r>
        <w:rPr>
          <w:rFonts w:hint="eastAsia"/>
        </w:rPr>
        <w:t>创建军休文化品牌。</w:t>
      </w:r>
    </w:p>
    <w:p w14:paraId="6C1537E9">
      <w:pPr>
        <w:pStyle w:val="105"/>
        <w:spacing w:before="156" w:after="156"/>
      </w:pPr>
      <w:bookmarkStart w:id="85" w:name="_Toc89957586"/>
      <w:bookmarkStart w:id="86" w:name="_Toc89940234"/>
      <w:r>
        <w:rPr>
          <w:rFonts w:hint="eastAsia"/>
        </w:rPr>
        <w:t>安全和应急管理</w:t>
      </w:r>
      <w:bookmarkEnd w:id="85"/>
      <w:bookmarkEnd w:id="86"/>
    </w:p>
    <w:p w14:paraId="472874BE">
      <w:pPr>
        <w:pStyle w:val="65"/>
        <w:spacing w:before="156" w:after="156"/>
      </w:pPr>
      <w:r>
        <w:rPr>
          <w:rFonts w:hint="eastAsia"/>
        </w:rPr>
        <w:t>安全管理</w:t>
      </w:r>
    </w:p>
    <w:p w14:paraId="49B30371">
      <w:pPr>
        <w:pStyle w:val="164"/>
      </w:pPr>
      <w:r>
        <w:rPr>
          <w:rFonts w:hint="eastAsia"/>
        </w:rPr>
        <w:t xml:space="preserve">应建立场地安全、活动安全、设施设备安全、人身财产安全、消防安全等安全管理制度，有安全工作的明确分工和安全责任制度。 </w:t>
      </w:r>
    </w:p>
    <w:p w14:paraId="69025B11">
      <w:pPr>
        <w:pStyle w:val="164"/>
      </w:pPr>
      <w:r>
        <w:rPr>
          <w:rFonts w:hint="eastAsia"/>
        </w:rPr>
        <w:t xml:space="preserve">应做到全年无重大责任事故，无发生因管理不善或服务不当而造成的伤亡事件。 </w:t>
      </w:r>
    </w:p>
    <w:p w14:paraId="6DFE0018">
      <w:pPr>
        <w:pStyle w:val="164"/>
      </w:pPr>
      <w:r>
        <w:rPr>
          <w:rFonts w:hint="eastAsia"/>
        </w:rPr>
        <w:t>应对服务过程中的各种事故的防范、突发事件的处理建立应急预案并定期演练。</w:t>
      </w:r>
    </w:p>
    <w:p w14:paraId="7ADBCED1">
      <w:pPr>
        <w:pStyle w:val="164"/>
      </w:pPr>
      <w:r>
        <w:rPr>
          <w:rFonts w:hint="eastAsia"/>
        </w:rPr>
        <w:t xml:space="preserve">应设置消防疏散示意图，配备消防器材、应急照明灯、低位照明灯及消防自动报警装置等消防设施，定期进行巡查和维护。 </w:t>
      </w:r>
    </w:p>
    <w:p w14:paraId="636EE66A">
      <w:pPr>
        <w:pStyle w:val="164"/>
      </w:pPr>
      <w:r>
        <w:rPr>
          <w:rFonts w:hint="eastAsia"/>
        </w:rPr>
        <w:t>应制定特种设备安全操作流程，并定期进行检修和维护。</w:t>
      </w:r>
    </w:p>
    <w:p w14:paraId="19BD53CC">
      <w:pPr>
        <w:pStyle w:val="164"/>
      </w:pPr>
      <w:r>
        <w:rPr>
          <w:rFonts w:hint="eastAsia"/>
        </w:rPr>
        <w:t>安装监控设备，监控区域实施24</w:t>
      </w:r>
      <w:r>
        <w:t> </w:t>
      </w:r>
      <w:r>
        <w:rPr>
          <w:rFonts w:hint="eastAsia"/>
        </w:rPr>
        <w:t>h监控。</w:t>
      </w:r>
    </w:p>
    <w:p w14:paraId="23852E75">
      <w:pPr>
        <w:pStyle w:val="164"/>
      </w:pPr>
      <w:r>
        <w:rPr>
          <w:rFonts w:hint="eastAsia"/>
        </w:rPr>
        <w:t xml:space="preserve">每季度至少开展一次全面的安全隐患排查，发现潜在风险及时督促整改。 </w:t>
      </w:r>
    </w:p>
    <w:p w14:paraId="59230046">
      <w:pPr>
        <w:pStyle w:val="164"/>
      </w:pPr>
      <w:r>
        <w:rPr>
          <w:rFonts w:hint="eastAsia"/>
        </w:rPr>
        <w:t>每半年至少组织工作人员进行一次安全知识、应急救援知识的教育和培训。</w:t>
      </w:r>
    </w:p>
    <w:p w14:paraId="30681BA6">
      <w:pPr>
        <w:pStyle w:val="164"/>
      </w:pPr>
      <w:r>
        <w:rPr>
          <w:rFonts w:hint="eastAsia"/>
        </w:rPr>
        <w:t>每年制定和更新各项季节性安全事故和自然性灾害的防控措施。</w:t>
      </w:r>
    </w:p>
    <w:p w14:paraId="5F4C95AA">
      <w:pPr>
        <w:pStyle w:val="65"/>
        <w:spacing w:before="156" w:after="156"/>
      </w:pPr>
      <w:r>
        <w:rPr>
          <w:rFonts w:hint="eastAsia"/>
        </w:rPr>
        <w:t>应急管理</w:t>
      </w:r>
    </w:p>
    <w:p w14:paraId="7D5FCD6E">
      <w:pPr>
        <w:pStyle w:val="164"/>
      </w:pPr>
      <w:r>
        <w:rPr>
          <w:rFonts w:hint="eastAsia"/>
        </w:rPr>
        <w:t>应建立各类组织活动的应急救护预案，重点为高龄军休干部，内容包括但不限于：老年常见病发作症状及现场处理方法、常见创伤急救、突发意外事件处置。</w:t>
      </w:r>
    </w:p>
    <w:p w14:paraId="7959F148">
      <w:pPr>
        <w:pStyle w:val="164"/>
      </w:pPr>
      <w:r>
        <w:rPr>
          <w:rFonts w:hint="eastAsia"/>
        </w:rPr>
        <w:t>应设立应急救护小组，或有专人负责。</w:t>
      </w:r>
    </w:p>
    <w:p w14:paraId="62C8FFEE">
      <w:pPr>
        <w:pStyle w:val="164"/>
      </w:pPr>
      <w:r>
        <w:rPr>
          <w:rFonts w:hint="eastAsia"/>
        </w:rPr>
        <w:t xml:space="preserve">应与附近医院建立紧急救护绿色通道，以便军休干部在活动期间发生健康意外时及时救治。 </w:t>
      </w:r>
    </w:p>
    <w:p w14:paraId="541C32BB">
      <w:pPr>
        <w:pStyle w:val="164"/>
      </w:pPr>
      <w:r>
        <w:rPr>
          <w:rFonts w:hint="eastAsia"/>
        </w:rPr>
        <w:t>应为军休干部和工作人员购买在有组织的疗养活动期间的意外伤害保险。</w:t>
      </w:r>
    </w:p>
    <w:p w14:paraId="6BEB5AA1">
      <w:pPr>
        <w:pStyle w:val="65"/>
        <w:spacing w:before="156" w:after="156"/>
      </w:pPr>
      <w:r>
        <w:rPr>
          <w:rFonts w:hint="eastAsia"/>
        </w:rPr>
        <w:t>风险管理</w:t>
      </w:r>
    </w:p>
    <w:p w14:paraId="0FF10DE0">
      <w:pPr>
        <w:pStyle w:val="56"/>
        <w:ind w:firstLine="420"/>
      </w:pPr>
      <w:r>
        <w:rPr>
          <w:rFonts w:hint="eastAsia"/>
        </w:rPr>
        <w:t>军休机构应成立风险管理小组，制定并完善各种风险防范措施。</w:t>
      </w:r>
    </w:p>
    <w:p w14:paraId="4590E7FD">
      <w:pPr>
        <w:pStyle w:val="105"/>
        <w:spacing w:before="156" w:after="156"/>
      </w:pPr>
      <w:bookmarkStart w:id="87" w:name="_Toc89957587"/>
      <w:bookmarkStart w:id="88" w:name="_Toc89940235"/>
      <w:r>
        <w:rPr>
          <w:rFonts w:hint="eastAsia"/>
        </w:rPr>
        <w:t>财务管理</w:t>
      </w:r>
      <w:bookmarkEnd w:id="87"/>
      <w:bookmarkEnd w:id="88"/>
    </w:p>
    <w:p w14:paraId="73BAEF08">
      <w:pPr>
        <w:pStyle w:val="165"/>
      </w:pPr>
      <w:r>
        <w:rPr>
          <w:rFonts w:hint="eastAsia"/>
        </w:rPr>
        <w:t>应建立健全财务管理规章制度，保证军休经费专款专用。</w:t>
      </w:r>
    </w:p>
    <w:p w14:paraId="40AC5E6C">
      <w:pPr>
        <w:pStyle w:val="165"/>
      </w:pPr>
      <w:r>
        <w:rPr>
          <w:rFonts w:hint="eastAsia"/>
        </w:rPr>
        <w:t>应建立财务内部管理控制制度和流程。</w:t>
      </w:r>
    </w:p>
    <w:p w14:paraId="3D341F18">
      <w:pPr>
        <w:pStyle w:val="165"/>
      </w:pPr>
      <w:r>
        <w:rPr>
          <w:rFonts w:hint="eastAsia"/>
        </w:rPr>
        <w:t>应建立资产登记管理制度，专人负责固定资产管理。</w:t>
      </w:r>
    </w:p>
    <w:p w14:paraId="14D56D5F">
      <w:pPr>
        <w:pStyle w:val="165"/>
      </w:pPr>
      <w:r>
        <w:rPr>
          <w:rFonts w:hint="eastAsia"/>
        </w:rPr>
        <w:t>应实行财务公开，接受军休干部和工作人员的监督。</w:t>
      </w:r>
    </w:p>
    <w:p w14:paraId="78CD7DB5">
      <w:pPr>
        <w:pStyle w:val="105"/>
        <w:spacing w:before="156" w:after="156"/>
      </w:pPr>
      <w:bookmarkStart w:id="89" w:name="_Toc89957588"/>
      <w:bookmarkStart w:id="90" w:name="_Toc89940236"/>
      <w:r>
        <w:rPr>
          <w:rFonts w:hint="eastAsia"/>
        </w:rPr>
        <w:t>信息化管理</w:t>
      </w:r>
      <w:bookmarkEnd w:id="89"/>
      <w:bookmarkEnd w:id="90"/>
    </w:p>
    <w:p w14:paraId="5BFAE493">
      <w:pPr>
        <w:pStyle w:val="165"/>
      </w:pPr>
      <w:r>
        <w:rPr>
          <w:rFonts w:hint="eastAsia"/>
        </w:rPr>
        <w:t>应积极推行电子化办公，建立满足军休服务管理需求的信息化系统。</w:t>
      </w:r>
    </w:p>
    <w:p w14:paraId="2636CBA2">
      <w:pPr>
        <w:pStyle w:val="165"/>
      </w:pPr>
      <w:r>
        <w:rPr>
          <w:rFonts w:hint="eastAsia"/>
        </w:rPr>
        <w:t>应做好和全国军休服务信息化平台及其他相关信息平台的对接和数据交换。</w:t>
      </w:r>
    </w:p>
    <w:p w14:paraId="3A30AB62">
      <w:pPr>
        <w:pStyle w:val="165"/>
      </w:pPr>
      <w:r>
        <w:rPr>
          <w:rFonts w:hint="eastAsia"/>
        </w:rPr>
        <w:t>应制定专人负责信息设备软、硬件和网络维护管理工作。</w:t>
      </w:r>
    </w:p>
    <w:p w14:paraId="141FBAB4">
      <w:pPr>
        <w:pStyle w:val="165"/>
      </w:pPr>
      <w:r>
        <w:rPr>
          <w:rFonts w:hint="eastAsia"/>
        </w:rPr>
        <w:t>应对数据传输和信息化服务的效果进行定期评估和持续改进。</w:t>
      </w:r>
    </w:p>
    <w:p w14:paraId="7C88EA36">
      <w:pPr>
        <w:pStyle w:val="165"/>
      </w:pPr>
      <w:r>
        <w:rPr>
          <w:rFonts w:hint="eastAsia"/>
        </w:rPr>
        <w:t>信息和网络安全应符合GB/T 20269、GB/T 20270、GB/T 20271的相关要求。</w:t>
      </w:r>
    </w:p>
    <w:p w14:paraId="0ABF7DC7">
      <w:pPr>
        <w:pStyle w:val="105"/>
        <w:spacing w:before="156" w:after="156"/>
      </w:pPr>
      <w:bookmarkStart w:id="91" w:name="_Toc89957589"/>
      <w:bookmarkStart w:id="92" w:name="_Toc89940237"/>
      <w:r>
        <w:rPr>
          <w:rFonts w:hint="eastAsia"/>
        </w:rPr>
        <w:t>社会化管理</w:t>
      </w:r>
      <w:bookmarkEnd w:id="91"/>
      <w:bookmarkEnd w:id="92"/>
    </w:p>
    <w:p w14:paraId="36C1A3E7">
      <w:pPr>
        <w:pStyle w:val="165"/>
      </w:pPr>
      <w:r>
        <w:rPr>
          <w:rFonts w:hint="eastAsia"/>
        </w:rPr>
        <w:t>应积极吸引社会资本投入，充分链接社会资源，促进军休服务的社会化发展。</w:t>
      </w:r>
    </w:p>
    <w:p w14:paraId="133CAEBD">
      <w:pPr>
        <w:pStyle w:val="165"/>
      </w:pPr>
      <w:r>
        <w:rPr>
          <w:rFonts w:hint="eastAsia"/>
        </w:rPr>
        <w:t>应积极对接安置地的养老和医保部门，及时将新接收的军休干部纳入安置地的养老和医疗保障体系，确保军休干部享受安置地国家机关同职级退休公务员医疗待遇。</w:t>
      </w:r>
    </w:p>
    <w:p w14:paraId="13198A4A">
      <w:pPr>
        <w:pStyle w:val="165"/>
      </w:pPr>
      <w:r>
        <w:rPr>
          <w:rFonts w:hint="eastAsia"/>
        </w:rPr>
        <w:t>应积极尝试在物业、家政、文体活动、教育培训、心理健康、社会公益等领域引入社会化服务。</w:t>
      </w:r>
    </w:p>
    <w:p w14:paraId="2BD850A6">
      <w:pPr>
        <w:pStyle w:val="165"/>
      </w:pPr>
      <w:r>
        <w:rPr>
          <w:rFonts w:hint="eastAsia"/>
        </w:rPr>
        <w:t>充分发动社会公益组织、爱心企业、专业社工人员、社区志愿者为军休干部提供志愿服务、结对帮扶服务，有条件的可协调在军休机构设立“关爱功臣、奉献爱心”服务基地。</w:t>
      </w:r>
    </w:p>
    <w:p w14:paraId="1830295B">
      <w:pPr>
        <w:pStyle w:val="165"/>
      </w:pPr>
      <w:r>
        <w:rPr>
          <w:rFonts w:hint="eastAsia"/>
        </w:rPr>
        <w:t>应对服务对象的社会化服务需求进行定期调查。</w:t>
      </w:r>
    </w:p>
    <w:p w14:paraId="2296D968">
      <w:pPr>
        <w:pStyle w:val="165"/>
      </w:pPr>
      <w:r>
        <w:rPr>
          <w:rFonts w:hint="eastAsia"/>
        </w:rPr>
        <w:t>应对社会化服务的服务质量、服务效果、满意度等进行定期调查，并将调查结果及时反馈给社会化服务机构，督促其进行改进。</w:t>
      </w:r>
    </w:p>
    <w:p w14:paraId="3A492524">
      <w:pPr>
        <w:pStyle w:val="105"/>
        <w:spacing w:before="156" w:after="156"/>
      </w:pPr>
      <w:bookmarkStart w:id="93" w:name="_Toc89957590"/>
      <w:bookmarkStart w:id="94" w:name="_Toc89940238"/>
      <w:r>
        <w:rPr>
          <w:rFonts w:hint="eastAsia"/>
        </w:rPr>
        <w:t>档案管理</w:t>
      </w:r>
      <w:bookmarkEnd w:id="93"/>
      <w:bookmarkEnd w:id="94"/>
    </w:p>
    <w:p w14:paraId="714E8F6B">
      <w:pPr>
        <w:pStyle w:val="165"/>
      </w:pPr>
      <w:r>
        <w:rPr>
          <w:rFonts w:hint="eastAsia"/>
        </w:rPr>
        <w:t>应设立档案室并配备专职档案工作人员。</w:t>
      </w:r>
    </w:p>
    <w:p w14:paraId="1CDDEC9E">
      <w:pPr>
        <w:pStyle w:val="165"/>
      </w:pPr>
      <w:r>
        <w:rPr>
          <w:rFonts w:hint="eastAsia"/>
        </w:rPr>
        <w:t>应建立档案管理制度，明确管理责任，实行档案规范管理。</w:t>
      </w:r>
    </w:p>
    <w:p w14:paraId="2A9DFFBA">
      <w:pPr>
        <w:pStyle w:val="165"/>
      </w:pPr>
      <w:r>
        <w:rPr>
          <w:rFonts w:hint="eastAsia"/>
        </w:rPr>
        <w:t>应建立档案管理保密制度，保证个人相关信息不得泄露。</w:t>
      </w:r>
    </w:p>
    <w:p w14:paraId="7C4EC400">
      <w:pPr>
        <w:pStyle w:val="165"/>
      </w:pPr>
      <w:r>
        <w:rPr>
          <w:rFonts w:hint="eastAsia"/>
        </w:rPr>
        <w:t>应建立档案安全保障制度，制定档案灾害应急处置预案。</w:t>
      </w:r>
    </w:p>
    <w:p w14:paraId="757C2447">
      <w:pPr>
        <w:pStyle w:val="165"/>
      </w:pPr>
      <w:r>
        <w:rPr>
          <w:rFonts w:hint="eastAsia"/>
        </w:rPr>
        <w:t>军休干部的人事、健康和服务档案应及时整理和更新。</w:t>
      </w:r>
    </w:p>
    <w:p w14:paraId="5BF365A8">
      <w:pPr>
        <w:pStyle w:val="104"/>
        <w:spacing w:before="312" w:after="312"/>
      </w:pPr>
      <w:bookmarkStart w:id="95" w:name="_Toc89957591"/>
      <w:bookmarkStart w:id="96" w:name="_Toc89940239"/>
      <w:r>
        <w:rPr>
          <w:rFonts w:hint="eastAsia"/>
        </w:rPr>
        <w:t>评价与改进</w:t>
      </w:r>
      <w:bookmarkEnd w:id="95"/>
      <w:bookmarkEnd w:id="96"/>
    </w:p>
    <w:p w14:paraId="3FFEC8F5">
      <w:pPr>
        <w:pStyle w:val="105"/>
        <w:spacing w:before="156" w:after="156"/>
      </w:pPr>
      <w:bookmarkStart w:id="97" w:name="_Toc89957592"/>
      <w:bookmarkStart w:id="98" w:name="_Toc89940240"/>
      <w:r>
        <w:rPr>
          <w:rFonts w:hint="eastAsia"/>
        </w:rPr>
        <w:t>评价原则</w:t>
      </w:r>
      <w:bookmarkEnd w:id="97"/>
      <w:bookmarkEnd w:id="98"/>
    </w:p>
    <w:p w14:paraId="1A56F187">
      <w:pPr>
        <w:pStyle w:val="56"/>
        <w:ind w:firstLine="420"/>
      </w:pPr>
      <w:r>
        <w:rPr>
          <w:rFonts w:hint="eastAsia"/>
        </w:rPr>
        <w:t>对军休服务管理作评价应遵循以下原则：</w:t>
      </w:r>
    </w:p>
    <w:p w14:paraId="4F69DDB6">
      <w:pPr>
        <w:pStyle w:val="174"/>
        <w:numPr>
          <w:ilvl w:val="0"/>
          <w:numId w:val="54"/>
        </w:numPr>
      </w:pPr>
      <w:r>
        <w:rPr>
          <w:rFonts w:hint="eastAsia"/>
        </w:rPr>
        <w:t>客观公正；</w:t>
      </w:r>
    </w:p>
    <w:p w14:paraId="3F9A2952">
      <w:pPr>
        <w:pStyle w:val="174"/>
      </w:pPr>
      <w:r>
        <w:rPr>
          <w:rFonts w:hint="eastAsia"/>
        </w:rPr>
        <w:t>科学严谨；</w:t>
      </w:r>
    </w:p>
    <w:p w14:paraId="3C4E7ADF">
      <w:pPr>
        <w:pStyle w:val="174"/>
      </w:pPr>
      <w:r>
        <w:rPr>
          <w:rFonts w:hint="eastAsia"/>
        </w:rPr>
        <w:t>全面准确；</w:t>
      </w:r>
    </w:p>
    <w:p w14:paraId="5C696C86">
      <w:pPr>
        <w:pStyle w:val="174"/>
      </w:pPr>
      <w:r>
        <w:rPr>
          <w:rFonts w:hint="eastAsia"/>
        </w:rPr>
        <w:t>注重实效。</w:t>
      </w:r>
    </w:p>
    <w:p w14:paraId="09F59D46">
      <w:pPr>
        <w:pStyle w:val="105"/>
        <w:spacing w:before="156" w:after="156"/>
      </w:pPr>
      <w:bookmarkStart w:id="99" w:name="_Toc89957593"/>
      <w:bookmarkStart w:id="100" w:name="_Toc89940241"/>
      <w:r>
        <w:rPr>
          <w:rFonts w:hint="eastAsia"/>
        </w:rPr>
        <w:t>评价依据</w:t>
      </w:r>
      <w:bookmarkEnd w:id="99"/>
      <w:bookmarkEnd w:id="100"/>
    </w:p>
    <w:p w14:paraId="3873E953">
      <w:pPr>
        <w:pStyle w:val="56"/>
        <w:ind w:firstLine="420"/>
      </w:pPr>
      <w:r>
        <w:rPr>
          <w:rFonts w:hint="eastAsia"/>
        </w:rPr>
        <w:t>对军休服务管理评价的依据应包括以下内容：</w:t>
      </w:r>
    </w:p>
    <w:p w14:paraId="1021AD40">
      <w:pPr>
        <w:pStyle w:val="174"/>
        <w:numPr>
          <w:ilvl w:val="0"/>
          <w:numId w:val="55"/>
        </w:numPr>
      </w:pPr>
      <w:r>
        <w:rPr>
          <w:rFonts w:hint="eastAsia"/>
        </w:rPr>
        <w:t>法律法规和强制性标准；</w:t>
      </w:r>
    </w:p>
    <w:p w14:paraId="3EA4E93D">
      <w:pPr>
        <w:pStyle w:val="174"/>
      </w:pPr>
      <w:r>
        <w:rPr>
          <w:rFonts w:hint="eastAsia"/>
        </w:rPr>
        <w:t>国家有关政策规定；</w:t>
      </w:r>
    </w:p>
    <w:p w14:paraId="4DCCE09F">
      <w:pPr>
        <w:pStyle w:val="174"/>
      </w:pPr>
      <w:r>
        <w:rPr>
          <w:rFonts w:hint="eastAsia"/>
        </w:rPr>
        <w:t>本文件。</w:t>
      </w:r>
    </w:p>
    <w:p w14:paraId="781CA19F">
      <w:pPr>
        <w:pStyle w:val="105"/>
        <w:spacing w:before="156" w:after="156"/>
      </w:pPr>
      <w:bookmarkStart w:id="101" w:name="_Toc89940242"/>
      <w:bookmarkStart w:id="102" w:name="_Toc89957594"/>
      <w:r>
        <w:rPr>
          <w:rFonts w:hint="eastAsia"/>
        </w:rPr>
        <w:t>评价主体及评价内容</w:t>
      </w:r>
      <w:bookmarkEnd w:id="101"/>
      <w:bookmarkEnd w:id="102"/>
    </w:p>
    <w:p w14:paraId="53A4AB28">
      <w:pPr>
        <w:pStyle w:val="65"/>
        <w:spacing w:before="156" w:after="156"/>
      </w:pPr>
      <w:r>
        <w:rPr>
          <w:rFonts w:hint="eastAsia"/>
        </w:rPr>
        <w:t>自我评价</w:t>
      </w:r>
    </w:p>
    <w:p w14:paraId="03780EC9">
      <w:pPr>
        <w:pStyle w:val="56"/>
        <w:ind w:firstLine="420"/>
      </w:pPr>
      <w:r>
        <w:rPr>
          <w:rFonts w:hint="eastAsia"/>
        </w:rPr>
        <w:t>主要是针对社会服务机构合作单位，在服务管理、人力资源管理、环境及设施设备管理、安全管理、服务项目及服务内容等方面，由军休机构进行自我评价。</w:t>
      </w:r>
    </w:p>
    <w:p w14:paraId="0C849E89">
      <w:pPr>
        <w:pStyle w:val="65"/>
        <w:spacing w:before="156" w:after="156"/>
      </w:pPr>
      <w:r>
        <w:rPr>
          <w:rFonts w:hint="eastAsia"/>
        </w:rPr>
        <w:t>移交部队评价</w:t>
      </w:r>
    </w:p>
    <w:p w14:paraId="20C10C98">
      <w:pPr>
        <w:pStyle w:val="56"/>
        <w:ind w:firstLine="420"/>
      </w:pPr>
      <w:r>
        <w:rPr>
          <w:rFonts w:hint="eastAsia"/>
        </w:rPr>
        <w:t>针对在接收安置过程中军休机构工作流程、工作人员服务态度、工作效率等方面的内容，由移交部队进行评价。</w:t>
      </w:r>
    </w:p>
    <w:p w14:paraId="4CDE92DB">
      <w:pPr>
        <w:pStyle w:val="65"/>
        <w:spacing w:before="156" w:after="156"/>
      </w:pPr>
      <w:r>
        <w:rPr>
          <w:rFonts w:hint="eastAsia"/>
        </w:rPr>
        <w:t>军休干部评价</w:t>
      </w:r>
    </w:p>
    <w:p w14:paraId="07D19AE8">
      <w:pPr>
        <w:pStyle w:val="56"/>
        <w:ind w:firstLine="420"/>
      </w:pPr>
      <w:r>
        <w:rPr>
          <w:rFonts w:hint="eastAsia"/>
        </w:rPr>
        <w:t>针对军休机构在移交接收安置、军休机构建设、政治生活待遇落实、服务管理、开展文体活动、开展医养结合社会化服务、荣誉疗养、发挥军休干部作用等有关工作，由军休干部进行评价。</w:t>
      </w:r>
    </w:p>
    <w:p w14:paraId="279DEE90">
      <w:pPr>
        <w:pStyle w:val="65"/>
        <w:spacing w:before="156" w:after="156"/>
      </w:pPr>
      <w:r>
        <w:rPr>
          <w:rFonts w:hint="eastAsia"/>
        </w:rPr>
        <w:t>第三方机构评价</w:t>
      </w:r>
    </w:p>
    <w:p w14:paraId="2CE5FFCC">
      <w:pPr>
        <w:pStyle w:val="56"/>
        <w:ind w:firstLine="420"/>
      </w:pPr>
      <w:r>
        <w:rPr>
          <w:rFonts w:hint="eastAsia"/>
        </w:rPr>
        <w:t xml:space="preserve">针对军休机构在组织建设、队伍建设、设施环境、规范服务、军休文化、财务资产、安全稳定等方面工作，由第三方机构采用定量与定性相结合的分析方法，对各军休管理机构的各项数据进行采集与检测，科学和客观地反映军休机构的服务水平与能力。  </w:t>
      </w:r>
    </w:p>
    <w:p w14:paraId="2363102D">
      <w:pPr>
        <w:pStyle w:val="105"/>
        <w:spacing w:before="156" w:after="156"/>
      </w:pPr>
      <w:bookmarkStart w:id="103" w:name="_Toc89957595"/>
      <w:bookmarkStart w:id="104" w:name="_Toc89940243"/>
      <w:r>
        <w:rPr>
          <w:rFonts w:hint="eastAsia"/>
        </w:rPr>
        <w:t>评价方式</w:t>
      </w:r>
      <w:bookmarkEnd w:id="103"/>
      <w:bookmarkEnd w:id="104"/>
    </w:p>
    <w:p w14:paraId="40EE8C87">
      <w:pPr>
        <w:pStyle w:val="165"/>
      </w:pPr>
      <w:r>
        <w:rPr>
          <w:rFonts w:hint="eastAsia"/>
        </w:rPr>
        <w:t>应采取座谈、设置意见箱、问卷调查、电话随访、入户走访等方式，收集部队、军休干部及相关第三方的意见和建议。</w:t>
      </w:r>
    </w:p>
    <w:p w14:paraId="66511E19">
      <w:pPr>
        <w:pStyle w:val="165"/>
      </w:pPr>
      <w:r>
        <w:rPr>
          <w:rFonts w:hint="eastAsia"/>
        </w:rPr>
        <w:t>应定期开展军休干部满意度调查，包括但不限于走访慰问、社会化服务、法律援助等方面内容，满意度一般不应低于90</w:t>
      </w:r>
      <w:r>
        <w:t> </w:t>
      </w:r>
      <w:r>
        <w:rPr>
          <w:rFonts w:hint="eastAsia"/>
        </w:rPr>
        <w:t>%。军休干部满意度调查问卷示例见附录B。</w:t>
      </w:r>
    </w:p>
    <w:p w14:paraId="607BAF6E">
      <w:pPr>
        <w:pStyle w:val="165"/>
      </w:pPr>
      <w:r>
        <w:rPr>
          <w:rFonts w:hint="eastAsia"/>
        </w:rPr>
        <w:t>定期开展对各军休基层党支部、党小组内的自我服务、自我管理的评价和考核。</w:t>
      </w:r>
    </w:p>
    <w:p w14:paraId="25361999">
      <w:pPr>
        <w:pStyle w:val="165"/>
      </w:pPr>
      <w:r>
        <w:rPr>
          <w:rFonts w:hint="eastAsia"/>
        </w:rPr>
        <w:t>定期根据各基层党支部、党小组参加活动或开展活动的情况测评自我服务自我管理效果。</w:t>
      </w:r>
    </w:p>
    <w:p w14:paraId="3FD17CB8">
      <w:pPr>
        <w:pStyle w:val="165"/>
      </w:pPr>
      <w:r>
        <w:rPr>
          <w:rFonts w:hint="eastAsia"/>
        </w:rPr>
        <w:t>应采取日常检查、定期检查、不定期抽查、专项检查等方式，对社会服务机构合作单位的服务质量进行检查与考核。</w:t>
      </w:r>
    </w:p>
    <w:p w14:paraId="075F50F2">
      <w:pPr>
        <w:pStyle w:val="165"/>
      </w:pPr>
      <w:r>
        <w:rPr>
          <w:rFonts w:hint="eastAsia"/>
        </w:rPr>
        <w:t>评价的结果应以评价报告的形式呈现，并作为持续改进的依据。</w:t>
      </w:r>
    </w:p>
    <w:p w14:paraId="2AF9D8C7">
      <w:pPr>
        <w:pStyle w:val="105"/>
        <w:spacing w:before="156" w:after="156"/>
      </w:pPr>
      <w:bookmarkStart w:id="105" w:name="_Toc89940244"/>
      <w:bookmarkStart w:id="106" w:name="_Toc89957596"/>
      <w:r>
        <w:rPr>
          <w:rFonts w:hint="eastAsia"/>
        </w:rPr>
        <w:t>申诉与投诉</w:t>
      </w:r>
      <w:bookmarkEnd w:id="105"/>
      <w:bookmarkEnd w:id="106"/>
    </w:p>
    <w:p w14:paraId="0BEE9A49">
      <w:pPr>
        <w:pStyle w:val="65"/>
        <w:spacing w:before="156" w:after="156"/>
      </w:pPr>
      <w:r>
        <w:rPr>
          <w:rFonts w:hint="eastAsia"/>
        </w:rPr>
        <w:t>一般要求</w:t>
      </w:r>
    </w:p>
    <w:p w14:paraId="5C10D54B">
      <w:pPr>
        <w:pStyle w:val="56"/>
        <w:ind w:firstLine="420"/>
      </w:pPr>
      <w:r>
        <w:rPr>
          <w:rFonts w:hint="eastAsia"/>
        </w:rPr>
        <w:t>军休机构宜按照GB/T 17242—1998的指引受理军休干部的投诉，投诉处理结果应及时反馈给军休干部，投诉处理相关信息作为服务质量评价和改进的依据。</w:t>
      </w:r>
    </w:p>
    <w:p w14:paraId="085E7880">
      <w:pPr>
        <w:pStyle w:val="65"/>
        <w:spacing w:before="156" w:after="156"/>
      </w:pPr>
      <w:r>
        <w:rPr>
          <w:rFonts w:hint="eastAsia"/>
        </w:rPr>
        <w:t>申诉与投诉内容</w:t>
      </w:r>
    </w:p>
    <w:p w14:paraId="4AD9611F">
      <w:pPr>
        <w:pStyle w:val="56"/>
        <w:ind w:firstLine="420"/>
      </w:pPr>
      <w:r>
        <w:rPr>
          <w:rFonts w:hint="eastAsia"/>
        </w:rPr>
        <w:t>申诉与投诉的内容包括但不限于：</w:t>
      </w:r>
    </w:p>
    <w:p w14:paraId="03BC5DF7">
      <w:pPr>
        <w:pStyle w:val="174"/>
        <w:numPr>
          <w:ilvl w:val="0"/>
          <w:numId w:val="56"/>
        </w:numPr>
      </w:pPr>
      <w:r>
        <w:rPr>
          <w:rFonts w:hint="eastAsia"/>
        </w:rPr>
        <w:t>对军休服务质量有异议；</w:t>
      </w:r>
    </w:p>
    <w:p w14:paraId="3DCE7982">
      <w:pPr>
        <w:pStyle w:val="174"/>
      </w:pPr>
      <w:r>
        <w:rPr>
          <w:rFonts w:hint="eastAsia"/>
        </w:rPr>
        <w:t>对违法、违纪有关处理意见或决定有异议；</w:t>
      </w:r>
    </w:p>
    <w:p w14:paraId="0B9CFB58">
      <w:pPr>
        <w:pStyle w:val="174"/>
      </w:pPr>
      <w:r>
        <w:rPr>
          <w:rFonts w:hint="eastAsia"/>
        </w:rPr>
        <w:t>对评价人员组成或行为有异议；</w:t>
      </w:r>
    </w:p>
    <w:p w14:paraId="49BA61EE">
      <w:pPr>
        <w:pStyle w:val="174"/>
      </w:pPr>
      <w:r>
        <w:rPr>
          <w:rFonts w:hint="eastAsia"/>
        </w:rPr>
        <w:t>对评价过程有异议；</w:t>
      </w:r>
    </w:p>
    <w:p w14:paraId="1F4E1888">
      <w:pPr>
        <w:pStyle w:val="174"/>
      </w:pPr>
      <w:r>
        <w:rPr>
          <w:rFonts w:hint="eastAsia"/>
        </w:rPr>
        <w:t>对评价结果有异议。</w:t>
      </w:r>
    </w:p>
    <w:p w14:paraId="4DA3B4AF">
      <w:pPr>
        <w:pStyle w:val="65"/>
        <w:spacing w:before="156" w:after="156"/>
      </w:pPr>
      <w:r>
        <w:rPr>
          <w:rFonts w:hint="eastAsia"/>
        </w:rPr>
        <w:t>申诉与投诉处理</w:t>
      </w:r>
    </w:p>
    <w:p w14:paraId="1BDCDAC2">
      <w:pPr>
        <w:pStyle w:val="56"/>
        <w:ind w:firstLine="420"/>
      </w:pPr>
      <w:r>
        <w:rPr>
          <w:rFonts w:hint="eastAsia"/>
        </w:rPr>
        <w:t>各级退役军人事务部门应建立受理、确认和调查申诉与投诉的处理流程。申诉与投诉的处理包括：</w:t>
      </w:r>
    </w:p>
    <w:p w14:paraId="1C96DD0B">
      <w:pPr>
        <w:pStyle w:val="174"/>
        <w:numPr>
          <w:ilvl w:val="0"/>
          <w:numId w:val="57"/>
        </w:numPr>
      </w:pPr>
      <w:r>
        <w:rPr>
          <w:rFonts w:hint="eastAsia"/>
        </w:rPr>
        <w:t>可采取现场、电话、信函等多种投诉渠道，确保投诉渠道畅通；</w:t>
      </w:r>
    </w:p>
    <w:p w14:paraId="286920E6">
      <w:pPr>
        <w:pStyle w:val="174"/>
      </w:pPr>
      <w:r>
        <w:rPr>
          <w:rFonts w:hint="eastAsia"/>
        </w:rPr>
        <w:t>安排专人及时处理军休干部的申诉和投诉，认真接待、耐心答复来信来访来电；</w:t>
      </w:r>
    </w:p>
    <w:p w14:paraId="0FFF82A1">
      <w:pPr>
        <w:pStyle w:val="174"/>
      </w:pPr>
      <w:r>
        <w:rPr>
          <w:rFonts w:hint="eastAsia"/>
        </w:rPr>
        <w:t>及时对申诉/投诉人提出的意见组织开展调查和复核；</w:t>
      </w:r>
    </w:p>
    <w:p w14:paraId="3C7B5404">
      <w:pPr>
        <w:pStyle w:val="174"/>
      </w:pPr>
      <w:r>
        <w:rPr>
          <w:rFonts w:hint="eastAsia"/>
        </w:rPr>
        <w:t>依法及时解决合理诉求，重大疑难问题和事件应及时逐级上报；</w:t>
      </w:r>
    </w:p>
    <w:p w14:paraId="77C887F7">
      <w:pPr>
        <w:pStyle w:val="174"/>
      </w:pPr>
      <w:r>
        <w:rPr>
          <w:rFonts w:hint="eastAsia"/>
        </w:rPr>
        <w:t>在规定的时限内给予回复；</w:t>
      </w:r>
    </w:p>
    <w:p w14:paraId="4D542F79">
      <w:pPr>
        <w:pStyle w:val="174"/>
      </w:pPr>
      <w:r>
        <w:rPr>
          <w:rFonts w:hint="eastAsia"/>
        </w:rPr>
        <w:t>对申诉与投诉意见处理情况应书面通知申诉/投诉人。</w:t>
      </w:r>
    </w:p>
    <w:p w14:paraId="7B32F7A3">
      <w:pPr>
        <w:pStyle w:val="105"/>
        <w:spacing w:before="156" w:after="156"/>
      </w:pPr>
      <w:bookmarkStart w:id="107" w:name="_Toc89940245"/>
      <w:bookmarkStart w:id="108" w:name="_Toc89957597"/>
      <w:r>
        <w:rPr>
          <w:rFonts w:hint="eastAsia"/>
        </w:rPr>
        <w:t>改进</w:t>
      </w:r>
      <w:bookmarkEnd w:id="107"/>
      <w:bookmarkEnd w:id="108"/>
    </w:p>
    <w:p w14:paraId="523D5CE1">
      <w:pPr>
        <w:pStyle w:val="65"/>
        <w:spacing w:before="156" w:after="156"/>
      </w:pPr>
      <w:r>
        <w:rPr>
          <w:rFonts w:hint="eastAsia"/>
        </w:rPr>
        <w:t>改进依据</w:t>
      </w:r>
    </w:p>
    <w:p w14:paraId="29CCF548">
      <w:pPr>
        <w:pStyle w:val="56"/>
        <w:ind w:firstLine="420"/>
      </w:pPr>
      <w:r>
        <w:rPr>
          <w:rFonts w:hint="eastAsia"/>
        </w:rPr>
        <w:t>改进依据包括但不限于：</w:t>
      </w:r>
    </w:p>
    <w:p w14:paraId="379FD83B">
      <w:pPr>
        <w:pStyle w:val="174"/>
        <w:numPr>
          <w:ilvl w:val="0"/>
          <w:numId w:val="58"/>
        </w:numPr>
      </w:pPr>
      <w:r>
        <w:rPr>
          <w:rFonts w:hint="eastAsia"/>
        </w:rPr>
        <w:t>适用的方针、政策、法律法规和其他要求；</w:t>
      </w:r>
    </w:p>
    <w:p w14:paraId="27C93234">
      <w:pPr>
        <w:pStyle w:val="174"/>
      </w:pPr>
      <w:r>
        <w:rPr>
          <w:rFonts w:hint="eastAsia"/>
        </w:rPr>
        <w:t>标准体系运行、标准实施和评价提出的改进要求；</w:t>
      </w:r>
    </w:p>
    <w:p w14:paraId="072565FE">
      <w:pPr>
        <w:pStyle w:val="174"/>
      </w:pPr>
      <w:r>
        <w:rPr>
          <w:rFonts w:hint="eastAsia"/>
        </w:rPr>
        <w:t>军休干部合理合规的反馈意见；</w:t>
      </w:r>
    </w:p>
    <w:p w14:paraId="2E94B2FA">
      <w:pPr>
        <w:pStyle w:val="174"/>
      </w:pPr>
      <w:r>
        <w:rPr>
          <w:rFonts w:hint="eastAsia"/>
        </w:rPr>
        <w:t>军休机构工作人员的合理化建议；</w:t>
      </w:r>
    </w:p>
    <w:p w14:paraId="2804B04D">
      <w:pPr>
        <w:pStyle w:val="174"/>
      </w:pPr>
      <w:r>
        <w:rPr>
          <w:rFonts w:hint="eastAsia"/>
        </w:rPr>
        <w:t>各种记录、报表中反映的数据。</w:t>
      </w:r>
    </w:p>
    <w:p w14:paraId="190365EB">
      <w:pPr>
        <w:pStyle w:val="65"/>
        <w:spacing w:before="156" w:after="156"/>
      </w:pPr>
      <w:r>
        <w:rPr>
          <w:rFonts w:hint="eastAsia"/>
        </w:rPr>
        <w:t>改进内容</w:t>
      </w:r>
    </w:p>
    <w:p w14:paraId="4C38C2DD">
      <w:pPr>
        <w:pStyle w:val="56"/>
        <w:ind w:firstLine="420"/>
      </w:pPr>
      <w:r>
        <w:rPr>
          <w:rFonts w:hint="eastAsia"/>
        </w:rPr>
        <w:t>改进内容包括但不限于：</w:t>
      </w:r>
    </w:p>
    <w:p w14:paraId="086BA03F">
      <w:pPr>
        <w:pStyle w:val="174"/>
        <w:numPr>
          <w:ilvl w:val="0"/>
          <w:numId w:val="59"/>
        </w:numPr>
      </w:pPr>
      <w:r>
        <w:rPr>
          <w:rFonts w:hint="eastAsia"/>
        </w:rPr>
        <w:t>提升服务管理标准化质量和水平；</w:t>
      </w:r>
    </w:p>
    <w:p w14:paraId="243E5E08">
      <w:pPr>
        <w:pStyle w:val="174"/>
      </w:pPr>
      <w:r>
        <w:rPr>
          <w:rFonts w:hint="eastAsia"/>
        </w:rPr>
        <w:t>提升工作人员的素质和能力；</w:t>
      </w:r>
    </w:p>
    <w:p w14:paraId="5482E601">
      <w:pPr>
        <w:pStyle w:val="174"/>
      </w:pPr>
      <w:r>
        <w:rPr>
          <w:rFonts w:hint="eastAsia"/>
        </w:rPr>
        <w:t>优化人员结构。</w:t>
      </w:r>
    </w:p>
    <w:p w14:paraId="73B6C556">
      <w:pPr>
        <w:pStyle w:val="65"/>
        <w:spacing w:before="156" w:after="156"/>
      </w:pPr>
      <w:r>
        <w:rPr>
          <w:rFonts w:hint="eastAsia"/>
        </w:rPr>
        <w:t>改进要求</w:t>
      </w:r>
    </w:p>
    <w:p w14:paraId="79818C5F">
      <w:pPr>
        <w:pStyle w:val="164"/>
      </w:pPr>
      <w:r>
        <w:rPr>
          <w:rFonts w:hint="eastAsia"/>
        </w:rPr>
        <w:t>军休机构应定期对上级评价结果、自我评估、日常服务质量检查和考核、军休干部的满意度调查和投诉等情况进行汇总归纳，并分析存在的问题及产生问题的原因，找出差距和不足，明确改进目标和改进措施。</w:t>
      </w:r>
    </w:p>
    <w:p w14:paraId="34EF3781">
      <w:pPr>
        <w:pStyle w:val="164"/>
      </w:pPr>
      <w:r>
        <w:rPr>
          <w:rFonts w:hint="eastAsia"/>
        </w:rPr>
        <w:t>军休机构应对改进措施的实施效果进行跟踪评价，适用时应将改进措施中的纠正、预防措施长效化，包括修改和完善相关的管理制度或发布和执行新的管理制度。</w:t>
      </w:r>
    </w:p>
    <w:p w14:paraId="32B5BB53">
      <w:pPr>
        <w:pStyle w:val="164"/>
      </w:pPr>
      <w:r>
        <w:rPr>
          <w:rFonts w:hint="eastAsia"/>
        </w:rPr>
        <w:t>军休机构应将服务质量检查评价结果运用到对工作人员的激励中，如表彰奖励、选树典型、重点培养、优先提拔使用、提供培训机会等。</w:t>
      </w:r>
    </w:p>
    <w:p w14:paraId="2FC50EE8">
      <w:pPr>
        <w:pStyle w:val="164"/>
      </w:pPr>
      <w:r>
        <w:rPr>
          <w:rFonts w:hint="eastAsia"/>
        </w:rPr>
        <w:t>工作人员日常工作中发现的问题应及时汇总、分析、上报相关部门，及时制定整改措施。</w:t>
      </w:r>
    </w:p>
    <w:p w14:paraId="1186F91B">
      <w:pPr>
        <w:pStyle w:val="164"/>
      </w:pPr>
      <w:r>
        <w:rPr>
          <w:rFonts w:hint="eastAsia"/>
        </w:rPr>
        <w:t>应注重日常评价的持续改进，定期进行研讨和交流，不断提高服务和管理水平。</w:t>
      </w:r>
    </w:p>
    <w:p w14:paraId="70DAC4BB">
      <w:pPr>
        <w:pStyle w:val="56"/>
        <w:ind w:firstLine="420"/>
      </w:pPr>
      <w:r>
        <w:t xml:space="preserve"> </w:t>
      </w:r>
    </w:p>
    <w:p w14:paraId="3B7379AB">
      <w:pPr>
        <w:pStyle w:val="56"/>
        <w:ind w:firstLine="420"/>
      </w:pPr>
    </w:p>
    <w:p w14:paraId="013787F3">
      <w:pPr>
        <w:pStyle w:val="56"/>
        <w:ind w:firstLine="420"/>
      </w:pPr>
    </w:p>
    <w:p w14:paraId="1C8FB01E">
      <w:pPr>
        <w:pStyle w:val="56"/>
        <w:ind w:firstLine="420"/>
      </w:pPr>
    </w:p>
    <w:p w14:paraId="56AC7764">
      <w:pPr>
        <w:pStyle w:val="56"/>
        <w:ind w:firstLine="420"/>
      </w:pPr>
    </w:p>
    <w:p w14:paraId="25C46C75">
      <w:pPr>
        <w:pStyle w:val="56"/>
        <w:ind w:firstLine="420"/>
      </w:pPr>
    </w:p>
    <w:p w14:paraId="4A2481C9">
      <w:pPr>
        <w:pStyle w:val="56"/>
        <w:ind w:firstLine="420"/>
      </w:pPr>
    </w:p>
    <w:p w14:paraId="0DA5AFF0">
      <w:pPr>
        <w:pStyle w:val="56"/>
        <w:ind w:firstLine="420"/>
        <w:sectPr>
          <w:pgSz w:w="11906" w:h="16838"/>
          <w:pgMar w:top="567" w:right="1134" w:bottom="1134" w:left="1134" w:header="1418" w:footer="1134" w:gutter="284"/>
          <w:pgNumType w:start="1"/>
          <w:cols w:space="425" w:num="1"/>
          <w:formProt w:val="0"/>
          <w:docGrid w:type="lines" w:linePitch="312" w:charSpace="0"/>
        </w:sectPr>
      </w:pPr>
    </w:p>
    <w:bookmarkEnd w:id="23"/>
    <w:p w14:paraId="1571B54C">
      <w:pPr>
        <w:pStyle w:val="198"/>
        <w:rPr>
          <w:vanish w:val="0"/>
        </w:rPr>
      </w:pPr>
      <w:bookmarkStart w:id="109" w:name="BookMark5"/>
    </w:p>
    <w:p w14:paraId="145F6CD0">
      <w:pPr>
        <w:pStyle w:val="199"/>
        <w:rPr>
          <w:vanish w:val="0"/>
        </w:rPr>
      </w:pPr>
    </w:p>
    <w:p w14:paraId="4200CA22">
      <w:pPr>
        <w:pStyle w:val="76"/>
        <w:spacing w:before="78" w:after="156"/>
      </w:pPr>
      <w:r>
        <w:br w:type="textWrapping"/>
      </w:r>
      <w:bookmarkStart w:id="110" w:name="_Toc89957598"/>
      <w:bookmarkStart w:id="111" w:name="_Toc89940246"/>
      <w:r>
        <w:rPr>
          <w:rFonts w:hint="eastAsia"/>
        </w:rPr>
        <w:t>（资料性）</w:t>
      </w:r>
      <w:r>
        <w:br w:type="textWrapping"/>
      </w:r>
      <w:r>
        <w:rPr>
          <w:rFonts w:hint="eastAsia"/>
        </w:rPr>
        <w:t>军队离退休人员交接协议书</w:t>
      </w:r>
      <w:bookmarkEnd w:id="110"/>
      <w:bookmarkEnd w:id="111"/>
    </w:p>
    <w:p w14:paraId="5578C0AD">
      <w:pPr>
        <w:adjustRightInd/>
        <w:spacing w:before="156" w:after="156" w:line="560" w:lineRule="exact"/>
        <w:jc w:val="center"/>
        <w:rPr>
          <w:rFonts w:ascii="方正小标宋简体" w:hAnsi="宋体" w:eastAsia="方正小标宋简体"/>
          <w:kern w:val="0"/>
          <w:szCs w:val="24"/>
        </w:rPr>
      </w:pPr>
      <w:r>
        <w:rPr>
          <w:rFonts w:ascii="方正小标宋简体" w:hAnsi="宋体" w:eastAsia="方正小标宋简体"/>
          <w:kern w:val="0"/>
          <w:szCs w:val="24"/>
        </w:rPr>
        <w:t>军队离退休人员交接协议书</w:t>
      </w:r>
    </w:p>
    <w:p w14:paraId="624EEE85">
      <w:pPr>
        <w:adjustRightInd/>
        <w:spacing w:before="156" w:after="156" w:line="560" w:lineRule="exact"/>
        <w:jc w:val="center"/>
        <w:rPr>
          <w:rFonts w:ascii="宋体" w:hAnsi="宋体"/>
          <w:kern w:val="0"/>
          <w:szCs w:val="24"/>
        </w:rPr>
      </w:pPr>
    </w:p>
    <w:p w14:paraId="2425CA06">
      <w:pPr>
        <w:adjustRightInd/>
        <w:snapToGrid w:val="0"/>
        <w:spacing w:line="360" w:lineRule="auto"/>
        <w:ind w:firstLine="420" w:firstLineChars="200"/>
        <w:jc w:val="left"/>
        <w:rPr>
          <w:rFonts w:ascii="宋体" w:hAnsi="宋体"/>
          <w:kern w:val="0"/>
          <w:szCs w:val="24"/>
        </w:rPr>
      </w:pPr>
      <w:r>
        <w:rPr>
          <w:rFonts w:ascii="宋体" w:hAnsi="宋体"/>
          <w:kern w:val="0"/>
          <w:szCs w:val="24"/>
        </w:rPr>
        <w:t>接收单位（甲方）：</w:t>
      </w:r>
    </w:p>
    <w:p w14:paraId="584803AF">
      <w:pPr>
        <w:adjustRightInd/>
        <w:snapToGrid w:val="0"/>
        <w:spacing w:line="360" w:lineRule="auto"/>
        <w:ind w:firstLine="420" w:firstLineChars="200"/>
        <w:rPr>
          <w:rFonts w:ascii="宋体" w:hAnsi="宋体"/>
          <w:kern w:val="0"/>
          <w:szCs w:val="24"/>
        </w:rPr>
      </w:pPr>
      <w:r>
        <w:rPr>
          <w:rFonts w:ascii="宋体" w:hAnsi="宋体"/>
          <w:kern w:val="0"/>
          <w:szCs w:val="24"/>
        </w:rPr>
        <w:t>移交部队（乙方）：</w:t>
      </w:r>
    </w:p>
    <w:p w14:paraId="16EA98F0">
      <w:pPr>
        <w:adjustRightInd/>
        <w:snapToGrid w:val="0"/>
        <w:spacing w:line="360" w:lineRule="auto"/>
        <w:ind w:firstLine="420" w:firstLineChars="200"/>
        <w:rPr>
          <w:rFonts w:ascii="宋体" w:hAnsi="宋体"/>
          <w:kern w:val="0"/>
          <w:szCs w:val="24"/>
        </w:rPr>
      </w:pPr>
      <w:r>
        <w:rPr>
          <w:rFonts w:ascii="宋体" w:hAnsi="宋体"/>
          <w:kern w:val="0"/>
          <w:szCs w:val="24"/>
        </w:rPr>
        <w:t>军队离退休人员（丙方）：         身份证号码：</w:t>
      </w:r>
    </w:p>
    <w:p w14:paraId="7D5F56A2">
      <w:pPr>
        <w:adjustRightInd/>
        <w:snapToGrid w:val="0"/>
        <w:spacing w:line="360" w:lineRule="auto"/>
        <w:ind w:firstLine="420" w:firstLineChars="200"/>
        <w:rPr>
          <w:rFonts w:ascii="宋体" w:hAnsi="宋体"/>
          <w:kern w:val="0"/>
          <w:szCs w:val="24"/>
        </w:rPr>
      </w:pPr>
    </w:p>
    <w:p w14:paraId="530F2272">
      <w:pPr>
        <w:adjustRightInd/>
        <w:snapToGrid w:val="0"/>
        <w:spacing w:line="360" w:lineRule="auto"/>
        <w:ind w:firstLine="420" w:firstLineChars="200"/>
        <w:rPr>
          <w:rFonts w:ascii="宋体" w:hAnsi="宋体"/>
          <w:kern w:val="0"/>
          <w:szCs w:val="24"/>
        </w:rPr>
      </w:pPr>
      <w:r>
        <w:rPr>
          <w:rFonts w:ascii="宋体" w:hAnsi="宋体"/>
          <w:kern w:val="0"/>
          <w:szCs w:val="24"/>
        </w:rPr>
        <w:t>根据国家有关政策规定，经甲、乙双方协商，并征得丙方同意，现就丙方移交后有关事宜协议如下：</w:t>
      </w:r>
    </w:p>
    <w:p w14:paraId="34985701">
      <w:pPr>
        <w:adjustRightInd/>
        <w:snapToGrid w:val="0"/>
        <w:spacing w:line="360" w:lineRule="auto"/>
        <w:ind w:firstLine="420" w:firstLineChars="200"/>
        <w:rPr>
          <w:rFonts w:ascii="黑体" w:hAnsi="黑体" w:eastAsia="黑体"/>
          <w:kern w:val="0"/>
          <w:szCs w:val="24"/>
        </w:rPr>
      </w:pPr>
      <w:r>
        <w:rPr>
          <w:rFonts w:ascii="黑体" w:hAnsi="黑体" w:eastAsia="黑体"/>
          <w:kern w:val="0"/>
          <w:szCs w:val="24"/>
        </w:rPr>
        <w:t>一、关于住房问题</w:t>
      </w:r>
    </w:p>
    <w:p w14:paraId="49671AEB">
      <w:pPr>
        <w:adjustRightInd/>
        <w:snapToGrid w:val="0"/>
        <w:spacing w:line="360" w:lineRule="auto"/>
        <w:ind w:firstLine="420" w:firstLineChars="200"/>
        <w:rPr>
          <w:rFonts w:ascii="宋体" w:hAnsi="宋体"/>
          <w:kern w:val="0"/>
          <w:szCs w:val="24"/>
        </w:rPr>
      </w:pPr>
      <w:r>
        <w:rPr>
          <w:rFonts w:ascii="宋体" w:hAnsi="宋体"/>
          <w:kern w:val="0"/>
          <w:szCs w:val="24"/>
        </w:rPr>
        <w:t>根据国家有关规定，以及丙方《军队离退休干部/退休士官安置去向及住房保障方式审定表》批准的意见，丙方的住房由乙方负责妥善处理，甲方不负责丙方的住房问题。丙方移交安置后，其房屋购置、维修、物业管理、水电、煤气及其它一切由此产生的费用，由丙方自理，乙方不再负责丙方有关住房方面的任何问题。</w:t>
      </w:r>
    </w:p>
    <w:p w14:paraId="3BAEDC3A">
      <w:pPr>
        <w:adjustRightInd/>
        <w:snapToGrid w:val="0"/>
        <w:spacing w:line="360" w:lineRule="auto"/>
        <w:ind w:firstLine="420" w:firstLineChars="200"/>
        <w:rPr>
          <w:rFonts w:ascii="黑体" w:hAnsi="黑体" w:eastAsia="黑体"/>
          <w:kern w:val="0"/>
          <w:szCs w:val="24"/>
        </w:rPr>
      </w:pPr>
      <w:r>
        <w:rPr>
          <w:rFonts w:ascii="黑体" w:hAnsi="黑体" w:eastAsia="黑体"/>
          <w:kern w:val="0"/>
          <w:szCs w:val="24"/>
        </w:rPr>
        <w:t>二、关于医疗问题</w:t>
      </w:r>
    </w:p>
    <w:p w14:paraId="0C581445">
      <w:pPr>
        <w:adjustRightInd/>
        <w:snapToGrid w:val="0"/>
        <w:spacing w:line="360" w:lineRule="auto"/>
        <w:ind w:firstLine="420" w:firstLineChars="200"/>
        <w:rPr>
          <w:rFonts w:ascii="宋体" w:hAnsi="宋体"/>
          <w:kern w:val="0"/>
          <w:szCs w:val="24"/>
        </w:rPr>
      </w:pPr>
      <w:r>
        <w:rPr>
          <w:rFonts w:ascii="宋体" w:hAnsi="宋体"/>
          <w:kern w:val="0"/>
          <w:szCs w:val="24"/>
        </w:rPr>
        <w:t>丙方移交地方办理医疗保险后（截止日期：  年  月  日），其医疗保障按照安置地政府规定的医疗保险办法，纳入医疗保险。办理医疗保险截止日期之前产生的医疗费用，继续由原部队负责解决。</w:t>
      </w:r>
    </w:p>
    <w:p w14:paraId="6EBB462A">
      <w:pPr>
        <w:adjustRightInd/>
        <w:snapToGrid w:val="0"/>
        <w:spacing w:line="360" w:lineRule="auto"/>
        <w:ind w:firstLine="420" w:firstLineChars="200"/>
        <w:rPr>
          <w:rFonts w:ascii="黑体" w:hAnsi="黑体" w:eastAsia="黑体"/>
          <w:kern w:val="0"/>
          <w:szCs w:val="24"/>
        </w:rPr>
      </w:pPr>
      <w:r>
        <w:rPr>
          <w:rFonts w:ascii="黑体" w:hAnsi="黑体" w:eastAsia="黑体"/>
          <w:kern w:val="0"/>
          <w:szCs w:val="24"/>
        </w:rPr>
        <w:t>三、服务管理</w:t>
      </w:r>
    </w:p>
    <w:p w14:paraId="7E7F3888">
      <w:pPr>
        <w:adjustRightInd/>
        <w:snapToGrid w:val="0"/>
        <w:spacing w:line="360" w:lineRule="auto"/>
        <w:ind w:firstLine="420" w:firstLineChars="200"/>
        <w:rPr>
          <w:rFonts w:ascii="方正粗黑宋简体" w:hAnsi="方正粗黑宋简体" w:eastAsia="方正粗黑宋简体"/>
          <w:kern w:val="0"/>
          <w:szCs w:val="24"/>
        </w:rPr>
      </w:pPr>
      <w:r>
        <w:rPr>
          <w:rFonts w:ascii="宋体" w:hAnsi="宋体"/>
          <w:kern w:val="0"/>
          <w:szCs w:val="24"/>
        </w:rPr>
        <w:t>自</w:t>
      </w:r>
      <w:r>
        <w:rPr>
          <w:rFonts w:hint="eastAsia" w:ascii="宋体" w:hAnsi="宋体"/>
          <w:kern w:val="0"/>
          <w:szCs w:val="24"/>
        </w:rPr>
        <w:t xml:space="preserve"> </w:t>
      </w:r>
      <w:r>
        <w:rPr>
          <w:rFonts w:ascii="宋体" w:hAnsi="宋体"/>
          <w:kern w:val="0"/>
          <w:szCs w:val="24"/>
        </w:rPr>
        <w:t xml:space="preserve"> 年 月 日起，丙方的服务管理按照政策规定由甲方负责。</w:t>
      </w:r>
    </w:p>
    <w:p w14:paraId="16CAE118">
      <w:pPr>
        <w:adjustRightInd/>
        <w:snapToGrid w:val="0"/>
        <w:spacing w:line="360" w:lineRule="auto"/>
        <w:ind w:firstLine="420" w:firstLineChars="200"/>
        <w:rPr>
          <w:rFonts w:ascii="黑体" w:hAnsi="黑体" w:eastAsia="黑体"/>
          <w:kern w:val="0"/>
          <w:szCs w:val="24"/>
        </w:rPr>
      </w:pPr>
      <w:r>
        <w:rPr>
          <w:rFonts w:ascii="黑体" w:hAnsi="黑体" w:eastAsia="黑体"/>
          <w:kern w:val="0"/>
          <w:szCs w:val="24"/>
        </w:rPr>
        <w:t>四、有关费用</w:t>
      </w:r>
    </w:p>
    <w:p w14:paraId="4039160D">
      <w:pPr>
        <w:adjustRightInd/>
        <w:snapToGrid w:val="0"/>
        <w:spacing w:line="360" w:lineRule="auto"/>
        <w:ind w:firstLine="420" w:firstLineChars="200"/>
        <w:rPr>
          <w:rFonts w:ascii="方正粗黑宋简体" w:hAnsi="方正粗黑宋简体" w:eastAsia="方正粗黑宋简体"/>
          <w:kern w:val="0"/>
          <w:szCs w:val="24"/>
        </w:rPr>
      </w:pPr>
      <w:r>
        <w:rPr>
          <w:rFonts w:ascii="宋体" w:hAnsi="宋体"/>
          <w:kern w:val="0"/>
          <w:szCs w:val="24"/>
        </w:rPr>
        <w:t>丙方</w:t>
      </w:r>
      <w:r>
        <w:rPr>
          <w:rFonts w:hint="eastAsia" w:ascii="宋体" w:hAnsi="宋体"/>
          <w:kern w:val="0"/>
          <w:szCs w:val="24"/>
        </w:rPr>
        <w:t>本年度的离退休费以及国家政策规定的有关补助补贴</w:t>
      </w:r>
      <w:r>
        <w:rPr>
          <w:rFonts w:ascii="宋体" w:hAnsi="宋体"/>
          <w:kern w:val="0"/>
          <w:szCs w:val="24"/>
        </w:rPr>
        <w:t xml:space="preserve">由乙方负责发放，甲方自 </w:t>
      </w:r>
      <w:r>
        <w:rPr>
          <w:rFonts w:hint="eastAsia" w:ascii="宋体" w:hAnsi="宋体"/>
          <w:kern w:val="0"/>
          <w:szCs w:val="24"/>
        </w:rPr>
        <w:t xml:space="preserve"> </w:t>
      </w:r>
      <w:r>
        <w:rPr>
          <w:rFonts w:ascii="宋体" w:hAnsi="宋体"/>
          <w:kern w:val="0"/>
          <w:szCs w:val="24"/>
        </w:rPr>
        <w:t>年 月 日起接供。</w:t>
      </w:r>
    </w:p>
    <w:p w14:paraId="730D19EB">
      <w:pPr>
        <w:adjustRightInd/>
        <w:snapToGrid w:val="0"/>
        <w:spacing w:line="360" w:lineRule="auto"/>
        <w:ind w:firstLine="420" w:firstLineChars="200"/>
        <w:rPr>
          <w:rFonts w:ascii="黑体" w:hAnsi="黑体" w:eastAsia="黑体"/>
          <w:kern w:val="0"/>
          <w:szCs w:val="24"/>
        </w:rPr>
      </w:pPr>
      <w:r>
        <w:rPr>
          <w:rFonts w:ascii="黑体" w:hAnsi="黑体" w:eastAsia="黑体"/>
          <w:kern w:val="0"/>
          <w:szCs w:val="24"/>
        </w:rPr>
        <w:t>五、其它事宜</w:t>
      </w:r>
    </w:p>
    <w:p w14:paraId="41DFE786">
      <w:pPr>
        <w:adjustRightInd/>
        <w:snapToGrid w:val="0"/>
        <w:spacing w:line="360" w:lineRule="auto"/>
        <w:ind w:firstLine="420" w:firstLineChars="200"/>
        <w:rPr>
          <w:rFonts w:ascii="宋体" w:hAnsi="宋体"/>
          <w:kern w:val="0"/>
          <w:szCs w:val="24"/>
        </w:rPr>
      </w:pPr>
      <w:r>
        <w:rPr>
          <w:rFonts w:ascii="宋体" w:hAnsi="宋体"/>
          <w:kern w:val="0"/>
          <w:szCs w:val="24"/>
        </w:rPr>
        <w:t>1、乙方向甲方移交丙方档案一份，经审核，档案材料齐全。</w:t>
      </w:r>
    </w:p>
    <w:p w14:paraId="21D19653">
      <w:pPr>
        <w:adjustRightInd/>
        <w:snapToGrid w:val="0"/>
        <w:spacing w:line="360" w:lineRule="auto"/>
        <w:ind w:firstLine="420" w:firstLineChars="200"/>
        <w:rPr>
          <w:rFonts w:ascii="宋体" w:hAnsi="宋体"/>
          <w:kern w:val="0"/>
          <w:szCs w:val="24"/>
        </w:rPr>
      </w:pPr>
      <w:r>
        <w:rPr>
          <w:rFonts w:ascii="宋体" w:hAnsi="宋体"/>
          <w:kern w:val="0"/>
          <w:szCs w:val="24"/>
        </w:rPr>
        <w:t>2、乙方向甲方移交丙方的组织关系介绍信、供给关系介绍信。</w:t>
      </w:r>
    </w:p>
    <w:p w14:paraId="0663DDB1">
      <w:pPr>
        <w:adjustRightInd/>
        <w:snapToGrid w:val="0"/>
        <w:spacing w:line="360" w:lineRule="auto"/>
        <w:ind w:firstLine="420" w:firstLineChars="200"/>
        <w:rPr>
          <w:rFonts w:ascii="宋体" w:hAnsi="宋体"/>
          <w:kern w:val="0"/>
          <w:szCs w:val="24"/>
        </w:rPr>
      </w:pPr>
      <w:r>
        <w:rPr>
          <w:rFonts w:ascii="宋体" w:hAnsi="宋体"/>
          <w:kern w:val="0"/>
          <w:szCs w:val="24"/>
        </w:rPr>
        <w:t>3、甲、乙、丙三方对丙方移交各事宜无异议。</w:t>
      </w:r>
    </w:p>
    <w:p w14:paraId="3F170ECD">
      <w:pPr>
        <w:adjustRightInd/>
        <w:snapToGrid w:val="0"/>
        <w:spacing w:line="360" w:lineRule="auto"/>
        <w:ind w:firstLine="420" w:firstLineChars="200"/>
        <w:rPr>
          <w:rFonts w:ascii="宋体" w:hAnsi="宋体"/>
          <w:kern w:val="0"/>
          <w:szCs w:val="24"/>
        </w:rPr>
      </w:pPr>
      <w:r>
        <w:rPr>
          <w:rFonts w:ascii="宋体" w:hAnsi="宋体"/>
          <w:kern w:val="0"/>
          <w:szCs w:val="24"/>
        </w:rPr>
        <w:t>4、乙方向甲方移交三联单。</w:t>
      </w:r>
    </w:p>
    <w:p w14:paraId="612243C9">
      <w:pPr>
        <w:adjustRightInd/>
        <w:snapToGrid w:val="0"/>
        <w:spacing w:line="360" w:lineRule="auto"/>
        <w:ind w:firstLine="420" w:firstLineChars="200"/>
        <w:rPr>
          <w:rFonts w:ascii="宋体" w:hAnsi="宋体"/>
          <w:kern w:val="0"/>
          <w:szCs w:val="24"/>
        </w:rPr>
      </w:pPr>
      <w:r>
        <w:rPr>
          <w:rFonts w:ascii="宋体" w:hAnsi="宋体"/>
          <w:kern w:val="0"/>
          <w:szCs w:val="24"/>
        </w:rPr>
        <w:t>5、本协议自签订之日起生效，各方必须严格遵守。丙方发生与服役有关的问题，由其原所在部队负责处理。</w:t>
      </w:r>
    </w:p>
    <w:p w14:paraId="53F5ADC2">
      <w:pPr>
        <w:adjustRightInd/>
        <w:snapToGrid w:val="0"/>
        <w:spacing w:line="360" w:lineRule="auto"/>
        <w:ind w:firstLine="420" w:firstLineChars="200"/>
        <w:rPr>
          <w:rFonts w:ascii="宋体" w:hAnsi="宋体"/>
          <w:kern w:val="0"/>
          <w:szCs w:val="24"/>
        </w:rPr>
      </w:pPr>
      <w:r>
        <w:rPr>
          <w:rFonts w:ascii="宋体" w:hAnsi="宋体"/>
          <w:kern w:val="0"/>
          <w:szCs w:val="24"/>
        </w:rPr>
        <w:t>6、本协议书一式三份，分别由甲、乙、丙三方留存。</w:t>
      </w:r>
    </w:p>
    <w:p w14:paraId="23512510">
      <w:pPr>
        <w:adjustRightInd/>
        <w:snapToGrid w:val="0"/>
        <w:spacing w:line="360" w:lineRule="auto"/>
        <w:ind w:firstLine="420" w:firstLineChars="200"/>
        <w:rPr>
          <w:rFonts w:ascii="宋体" w:hAnsi="宋体"/>
          <w:kern w:val="0"/>
          <w:szCs w:val="24"/>
        </w:rPr>
      </w:pPr>
      <w:r>
        <w:rPr>
          <w:rFonts w:ascii="宋体" w:hAnsi="宋体"/>
          <w:kern w:val="0"/>
          <w:szCs w:val="24"/>
        </w:rPr>
        <w:t>7、本协议未尽事宜，三方协商解决，协商达不成统一意见的通过法律途径解决</w:t>
      </w:r>
      <w:r>
        <w:rPr>
          <w:rFonts w:hint="eastAsia" w:ascii="宋体" w:hAnsi="宋体"/>
          <w:kern w:val="0"/>
          <w:szCs w:val="24"/>
        </w:rPr>
        <w:t>。</w:t>
      </w:r>
    </w:p>
    <w:p w14:paraId="628C3716">
      <w:pPr>
        <w:adjustRightInd/>
        <w:snapToGrid w:val="0"/>
        <w:spacing w:line="360" w:lineRule="auto"/>
        <w:ind w:firstLine="420" w:firstLineChars="200"/>
        <w:rPr>
          <w:rFonts w:ascii="宋体" w:hAnsi="宋体"/>
          <w:kern w:val="0"/>
          <w:szCs w:val="24"/>
        </w:rPr>
      </w:pPr>
      <w:r>
        <w:rPr>
          <w:rFonts w:ascii="宋体" w:hAnsi="宋体"/>
          <w:kern w:val="0"/>
          <w:szCs w:val="24"/>
        </w:rPr>
        <w:t xml:space="preserve"> </w:t>
      </w:r>
    </w:p>
    <w:p w14:paraId="0552D136">
      <w:pPr>
        <w:adjustRightInd/>
        <w:snapToGrid w:val="0"/>
        <w:spacing w:line="360" w:lineRule="auto"/>
        <w:ind w:firstLine="420" w:firstLineChars="200"/>
        <w:rPr>
          <w:rFonts w:ascii="宋体" w:hAnsi="宋体"/>
          <w:kern w:val="0"/>
          <w:szCs w:val="24"/>
        </w:rPr>
      </w:pPr>
    </w:p>
    <w:p w14:paraId="20BD6B50">
      <w:pPr>
        <w:adjustRightInd/>
        <w:snapToGrid w:val="0"/>
        <w:spacing w:line="360" w:lineRule="auto"/>
        <w:ind w:firstLine="420" w:firstLineChars="200"/>
        <w:rPr>
          <w:rFonts w:ascii="宋体" w:hAnsi="宋体"/>
          <w:kern w:val="0"/>
          <w:szCs w:val="24"/>
        </w:rPr>
      </w:pPr>
      <w:r>
        <w:rPr>
          <w:rFonts w:ascii="宋体" w:hAnsi="宋体"/>
          <w:kern w:val="0"/>
          <w:szCs w:val="24"/>
        </w:rPr>
        <w:t xml:space="preserve">甲方：                 （盖章）                代表：         （签字） </w:t>
      </w:r>
    </w:p>
    <w:p w14:paraId="7B2F0D34">
      <w:pPr>
        <w:adjustRightInd/>
        <w:snapToGrid w:val="0"/>
        <w:spacing w:line="360" w:lineRule="auto"/>
        <w:ind w:firstLine="420" w:firstLineChars="200"/>
        <w:rPr>
          <w:rFonts w:ascii="宋体" w:hAnsi="宋体"/>
          <w:kern w:val="0"/>
          <w:szCs w:val="24"/>
        </w:rPr>
      </w:pPr>
    </w:p>
    <w:p w14:paraId="6AC76689">
      <w:pPr>
        <w:adjustRightInd/>
        <w:snapToGrid w:val="0"/>
        <w:spacing w:line="360" w:lineRule="auto"/>
        <w:ind w:firstLine="420" w:firstLineChars="200"/>
        <w:rPr>
          <w:rFonts w:ascii="宋体" w:hAnsi="宋体"/>
          <w:kern w:val="0"/>
          <w:szCs w:val="24"/>
        </w:rPr>
      </w:pPr>
      <w:r>
        <w:rPr>
          <w:rFonts w:ascii="宋体" w:hAnsi="宋体"/>
          <w:kern w:val="0"/>
          <w:szCs w:val="24"/>
        </w:rPr>
        <w:t>乙方：                 （盖章）                代表：         （签字）</w:t>
      </w:r>
    </w:p>
    <w:p w14:paraId="49D08CAD">
      <w:pPr>
        <w:adjustRightInd/>
        <w:snapToGrid w:val="0"/>
        <w:spacing w:line="360" w:lineRule="auto"/>
        <w:ind w:firstLine="420" w:firstLineChars="200"/>
        <w:rPr>
          <w:rFonts w:ascii="宋体" w:hAnsi="宋体"/>
          <w:kern w:val="0"/>
          <w:szCs w:val="24"/>
        </w:rPr>
      </w:pPr>
    </w:p>
    <w:p w14:paraId="43D46DA2">
      <w:pPr>
        <w:adjustRightInd/>
        <w:snapToGrid w:val="0"/>
        <w:spacing w:line="360" w:lineRule="auto"/>
        <w:ind w:firstLine="420" w:firstLineChars="200"/>
        <w:rPr>
          <w:rFonts w:ascii="宋体" w:hAnsi="宋体"/>
          <w:kern w:val="0"/>
          <w:szCs w:val="24"/>
        </w:rPr>
      </w:pPr>
      <w:r>
        <w:rPr>
          <w:rFonts w:ascii="宋体" w:hAnsi="宋体"/>
          <w:kern w:val="0"/>
          <w:szCs w:val="24"/>
        </w:rPr>
        <w:t xml:space="preserve">丙方（或其监护人）：   （签字）  </w:t>
      </w:r>
    </w:p>
    <w:p w14:paraId="566C2288">
      <w:pPr>
        <w:adjustRightInd/>
        <w:spacing w:before="156" w:after="156" w:line="560" w:lineRule="exact"/>
        <w:ind w:firstLine="420" w:firstLineChars="200"/>
        <w:rPr>
          <w:rFonts w:ascii="宋体" w:hAnsi="宋体"/>
          <w:kern w:val="0"/>
          <w:szCs w:val="24"/>
        </w:rPr>
      </w:pPr>
      <w:r>
        <w:rPr>
          <w:rFonts w:ascii="宋体" w:hAnsi="宋体"/>
          <w:kern w:val="0"/>
          <w:szCs w:val="24"/>
        </w:rPr>
        <w:t xml:space="preserve"> </w:t>
      </w:r>
    </w:p>
    <w:p w14:paraId="3AEDF973">
      <w:pPr>
        <w:adjustRightInd/>
        <w:spacing w:before="156" w:after="156" w:line="560" w:lineRule="exact"/>
        <w:ind w:firstLine="1890" w:firstLineChars="900"/>
        <w:jc w:val="right"/>
        <w:rPr>
          <w:rFonts w:ascii="宋体" w:hAnsi="宋体"/>
          <w:kern w:val="0"/>
          <w:szCs w:val="24"/>
          <w:u w:val="single"/>
        </w:rPr>
      </w:pPr>
      <w:r>
        <w:rPr>
          <w:rFonts w:ascii="宋体" w:hAnsi="宋体"/>
          <w:kern w:val="0"/>
          <w:szCs w:val="24"/>
          <w:u w:val="single" w:color="000000"/>
        </w:rPr>
        <w:t xml:space="preserve"> </w:t>
      </w:r>
    </w:p>
    <w:p w14:paraId="79AB7569">
      <w:pPr>
        <w:pStyle w:val="56"/>
        <w:ind w:firstLine="420"/>
        <w:jc w:val="right"/>
      </w:pPr>
      <w:r>
        <w:rPr>
          <w:rFonts w:hAnsi="宋体"/>
          <w:szCs w:val="24"/>
          <w:u w:val="single" w:color="000000"/>
        </w:rPr>
        <w:t xml:space="preserve">    </w:t>
      </w:r>
      <w:r>
        <w:rPr>
          <w:rFonts w:hAnsi="宋体"/>
          <w:szCs w:val="24"/>
        </w:rPr>
        <w:t>年</w:t>
      </w:r>
      <w:r>
        <w:rPr>
          <w:rFonts w:hAnsi="宋体"/>
          <w:szCs w:val="24"/>
          <w:u w:val="single" w:color="000000"/>
        </w:rPr>
        <w:t xml:space="preserve">    </w:t>
      </w:r>
      <w:r>
        <w:rPr>
          <w:rFonts w:hAnsi="宋体"/>
          <w:szCs w:val="24"/>
        </w:rPr>
        <w:t>月</w:t>
      </w:r>
      <w:r>
        <w:rPr>
          <w:rFonts w:hAnsi="宋体"/>
          <w:szCs w:val="24"/>
          <w:u w:val="single" w:color="000000"/>
        </w:rPr>
        <w:t xml:space="preserve">     </w:t>
      </w:r>
      <w:r>
        <w:rPr>
          <w:rFonts w:hAnsi="宋体"/>
          <w:szCs w:val="24"/>
        </w:rPr>
        <w:t xml:space="preserve">日 </w:t>
      </w:r>
    </w:p>
    <w:p w14:paraId="6528910F">
      <w:pPr>
        <w:pStyle w:val="56"/>
        <w:ind w:firstLine="420"/>
      </w:pPr>
    </w:p>
    <w:p w14:paraId="5744E755">
      <w:pPr>
        <w:pStyle w:val="56"/>
        <w:ind w:firstLine="420"/>
      </w:pPr>
    </w:p>
    <w:p w14:paraId="11F38CE5">
      <w:pPr>
        <w:pStyle w:val="56"/>
        <w:ind w:firstLine="420"/>
        <w:sectPr>
          <w:pgSz w:w="11906" w:h="16838"/>
          <w:pgMar w:top="567" w:right="1134" w:bottom="1134" w:left="1134" w:header="1418" w:footer="1134" w:gutter="284"/>
          <w:cols w:space="425" w:num="1"/>
          <w:formProt w:val="0"/>
          <w:docGrid w:type="lines" w:linePitch="312" w:charSpace="0"/>
        </w:sectPr>
      </w:pPr>
    </w:p>
    <w:p w14:paraId="578160C8">
      <w:pPr>
        <w:pStyle w:val="198"/>
        <w:rPr>
          <w:vanish w:val="0"/>
        </w:rPr>
      </w:pPr>
    </w:p>
    <w:p w14:paraId="05D2153E">
      <w:pPr>
        <w:pStyle w:val="199"/>
        <w:rPr>
          <w:vanish w:val="0"/>
        </w:rPr>
      </w:pPr>
    </w:p>
    <w:p w14:paraId="193D906B">
      <w:pPr>
        <w:pStyle w:val="76"/>
        <w:spacing w:before="78" w:after="156"/>
      </w:pPr>
      <w:r>
        <w:br w:type="textWrapping"/>
      </w:r>
      <w:bookmarkStart w:id="112" w:name="_Toc89940247"/>
      <w:bookmarkStart w:id="113" w:name="_Toc89957599"/>
      <w:r>
        <w:rPr>
          <w:rFonts w:hint="eastAsia"/>
        </w:rPr>
        <w:t>（资料性）</w:t>
      </w:r>
      <w:r>
        <w:br w:type="textWrapping"/>
      </w:r>
      <w:r>
        <w:rPr>
          <w:rFonts w:hint="eastAsia"/>
        </w:rPr>
        <w:t>军休干部满意度调查问卷示例</w:t>
      </w:r>
      <w:bookmarkEnd w:id="112"/>
      <w:bookmarkEnd w:id="113"/>
    </w:p>
    <w:p w14:paraId="77C21AF0">
      <w:pPr>
        <w:widowControl/>
        <w:numPr>
          <w:ilvl w:val="0"/>
          <w:numId w:val="60"/>
        </w:numPr>
        <w:tabs>
          <w:tab w:val="center" w:pos="4201"/>
          <w:tab w:val="right" w:leader="dot" w:pos="9298"/>
        </w:tabs>
        <w:adjustRightInd/>
        <w:spacing w:line="560" w:lineRule="exact"/>
        <w:ind w:firstLine="420"/>
        <w:jc w:val="center"/>
        <w:textAlignment w:val="baseline"/>
        <w:rPr>
          <w:rFonts w:ascii="方正小标宋简体" w:hAnsi="Arial" w:eastAsia="方正小标宋简体"/>
          <w:kern w:val="0"/>
          <w:szCs w:val="20"/>
        </w:rPr>
      </w:pPr>
      <w:r>
        <w:rPr>
          <w:rFonts w:ascii="方正小标宋简体" w:hAnsi="Arial" w:eastAsia="方正小标宋简体"/>
          <w:kern w:val="0"/>
          <w:szCs w:val="20"/>
        </w:rPr>
        <w:t>军休干部满意度调查问卷</w:t>
      </w:r>
    </w:p>
    <w:p w14:paraId="07568C4C">
      <w:pPr>
        <w:adjustRightInd/>
        <w:spacing w:line="240" w:lineRule="auto"/>
        <w:ind w:firstLine="420" w:firstLineChars="200"/>
        <w:rPr>
          <w:rFonts w:ascii="宋体" w:hAnsi="宋体"/>
          <w:szCs w:val="24"/>
        </w:rPr>
      </w:pPr>
    </w:p>
    <w:p w14:paraId="5FB17C5E">
      <w:pPr>
        <w:adjustRightInd/>
        <w:spacing w:line="240" w:lineRule="auto"/>
        <w:ind w:firstLine="420" w:firstLineChars="200"/>
        <w:rPr>
          <w:rFonts w:ascii="宋体" w:hAnsi="宋体"/>
          <w:szCs w:val="24"/>
        </w:rPr>
      </w:pPr>
      <w:r>
        <w:rPr>
          <w:rFonts w:ascii="宋体" w:hAnsi="宋体"/>
          <w:szCs w:val="24"/>
        </w:rPr>
        <w:t>尊敬的军休干部：为了能够更好的给您提供精准</w:t>
      </w:r>
      <w:r>
        <w:rPr>
          <w:rFonts w:hint="eastAsia" w:ascii="宋体" w:hAnsi="宋体"/>
          <w:szCs w:val="24"/>
        </w:rPr>
        <w:t>细致</w:t>
      </w:r>
      <w:r>
        <w:rPr>
          <w:rFonts w:ascii="宋体" w:hAnsi="宋体"/>
          <w:szCs w:val="24"/>
        </w:rPr>
        <w:t>的服务，切实提升军休机构的服务管理水平，请根据实际情况填写此问卷。您的建议和意见对我们的工作非常重要，谢谢！</w:t>
      </w:r>
    </w:p>
    <w:p w14:paraId="248B5F42">
      <w:pPr>
        <w:adjustRightInd/>
        <w:spacing w:line="240" w:lineRule="auto"/>
        <w:ind w:firstLine="420" w:firstLineChars="200"/>
        <w:rPr>
          <w:rFonts w:ascii="宋体" w:hAnsi="宋体"/>
          <w:szCs w:val="24"/>
        </w:rPr>
      </w:pPr>
    </w:p>
    <w:p w14:paraId="7D6F822F">
      <w:pPr>
        <w:adjustRightInd/>
        <w:spacing w:line="240" w:lineRule="auto"/>
        <w:rPr>
          <w:rFonts w:ascii="宋体" w:hAnsi="宋体" w:cs="宋体"/>
        </w:rPr>
      </w:pPr>
      <w:r>
        <w:rPr>
          <w:rFonts w:hint="eastAsia" w:ascii="宋体" w:hAnsi="宋体" w:cs="宋体"/>
        </w:rPr>
        <w:t>1.您的性别(  )</w:t>
      </w:r>
    </w:p>
    <w:p w14:paraId="523874F4">
      <w:pPr>
        <w:adjustRightInd/>
        <w:spacing w:line="240" w:lineRule="auto"/>
        <w:ind w:firstLine="420" w:firstLineChars="200"/>
        <w:rPr>
          <w:rFonts w:ascii="宋体" w:hAnsi="宋体" w:cs="宋体"/>
        </w:rPr>
      </w:pPr>
      <w:r>
        <w:rPr>
          <w:rFonts w:hint="eastAsia" w:ascii="宋体" w:hAnsi="宋体" w:cs="宋体"/>
        </w:rPr>
        <w:t xml:space="preserve">〇A.男        </w:t>
      </w:r>
    </w:p>
    <w:p w14:paraId="65B2DF32">
      <w:pPr>
        <w:adjustRightInd/>
        <w:spacing w:line="240" w:lineRule="auto"/>
        <w:ind w:firstLine="420" w:firstLineChars="200"/>
        <w:rPr>
          <w:rFonts w:ascii="宋体" w:hAnsi="宋体" w:cs="宋体"/>
        </w:rPr>
      </w:pPr>
      <w:r>
        <w:rPr>
          <w:rFonts w:hint="eastAsia" w:ascii="宋体" w:hAnsi="宋体" w:cs="宋体"/>
        </w:rPr>
        <w:t>〇B.女</w:t>
      </w:r>
    </w:p>
    <w:p w14:paraId="45E2C9A9">
      <w:pPr>
        <w:adjustRightInd/>
        <w:spacing w:line="240" w:lineRule="auto"/>
        <w:rPr>
          <w:rFonts w:ascii="宋体" w:hAnsi="宋体" w:cs="宋体"/>
        </w:rPr>
      </w:pPr>
      <w:r>
        <w:rPr>
          <w:rFonts w:hint="eastAsia" w:ascii="宋体" w:hAnsi="宋体" w:cs="宋体"/>
        </w:rPr>
        <w:t>2.您的年龄段(  )</w:t>
      </w:r>
    </w:p>
    <w:p w14:paraId="16FA9150">
      <w:pPr>
        <w:adjustRightInd/>
        <w:spacing w:line="240" w:lineRule="auto"/>
        <w:ind w:firstLine="420" w:firstLineChars="200"/>
        <w:rPr>
          <w:rFonts w:ascii="宋体" w:hAnsi="宋体" w:cs="宋体"/>
        </w:rPr>
      </w:pPr>
      <w:r>
        <w:rPr>
          <w:rFonts w:hint="eastAsia" w:ascii="宋体" w:hAnsi="宋体" w:cs="宋体"/>
        </w:rPr>
        <w:t>〇A.50岁以下</w:t>
      </w:r>
    </w:p>
    <w:p w14:paraId="4FFEF9D4">
      <w:pPr>
        <w:adjustRightInd/>
        <w:spacing w:line="240" w:lineRule="auto"/>
        <w:ind w:firstLine="420" w:firstLineChars="200"/>
        <w:rPr>
          <w:rFonts w:ascii="宋体" w:hAnsi="宋体" w:cs="宋体"/>
        </w:rPr>
      </w:pPr>
      <w:r>
        <w:rPr>
          <w:rFonts w:hint="eastAsia" w:ascii="宋体" w:hAnsi="宋体" w:cs="宋体"/>
        </w:rPr>
        <w:t>〇B.50-60岁</w:t>
      </w:r>
    </w:p>
    <w:p w14:paraId="63823365">
      <w:pPr>
        <w:adjustRightInd/>
        <w:spacing w:line="240" w:lineRule="auto"/>
        <w:ind w:firstLine="420" w:firstLineChars="200"/>
        <w:rPr>
          <w:rFonts w:ascii="宋体" w:hAnsi="宋体" w:cs="宋体"/>
        </w:rPr>
      </w:pPr>
      <w:r>
        <w:rPr>
          <w:rFonts w:hint="eastAsia" w:ascii="宋体" w:hAnsi="宋体" w:cs="宋体"/>
        </w:rPr>
        <w:t>〇C.60-70岁</w:t>
      </w:r>
    </w:p>
    <w:p w14:paraId="082F22FE">
      <w:pPr>
        <w:adjustRightInd/>
        <w:spacing w:line="240" w:lineRule="auto"/>
        <w:ind w:firstLine="420" w:firstLineChars="200"/>
        <w:rPr>
          <w:rFonts w:ascii="宋体" w:hAnsi="宋体" w:cs="宋体"/>
        </w:rPr>
      </w:pPr>
      <w:r>
        <w:rPr>
          <w:rFonts w:hint="eastAsia" w:ascii="宋体" w:hAnsi="宋体" w:cs="宋体"/>
        </w:rPr>
        <w:t>〇D.70-80岁</w:t>
      </w:r>
    </w:p>
    <w:p w14:paraId="2DD2B3C8">
      <w:pPr>
        <w:adjustRightInd/>
        <w:spacing w:line="240" w:lineRule="auto"/>
        <w:ind w:firstLine="420" w:firstLineChars="200"/>
        <w:rPr>
          <w:rFonts w:ascii="宋体" w:hAnsi="宋体" w:cs="宋体"/>
        </w:rPr>
      </w:pPr>
      <w:r>
        <w:rPr>
          <w:rFonts w:hint="eastAsia" w:ascii="宋体" w:hAnsi="宋体" w:cs="宋体"/>
        </w:rPr>
        <w:t>〇E.80岁以上</w:t>
      </w:r>
    </w:p>
    <w:p w14:paraId="283AFE6D">
      <w:pPr>
        <w:adjustRightInd/>
        <w:spacing w:line="240" w:lineRule="auto"/>
        <w:rPr>
          <w:rFonts w:ascii="宋体" w:hAnsi="宋体" w:cs="宋体"/>
        </w:rPr>
      </w:pPr>
      <w:r>
        <w:rPr>
          <w:rFonts w:hint="eastAsia" w:ascii="宋体" w:hAnsi="宋体" w:cs="宋体"/>
        </w:rPr>
        <w:t>3.您的婚姻状况(  )</w:t>
      </w:r>
    </w:p>
    <w:p w14:paraId="49BD9308">
      <w:pPr>
        <w:adjustRightInd/>
        <w:spacing w:line="240" w:lineRule="auto"/>
        <w:ind w:firstLine="420" w:firstLineChars="200"/>
        <w:rPr>
          <w:rFonts w:ascii="宋体" w:hAnsi="宋体" w:cs="宋体"/>
        </w:rPr>
      </w:pPr>
      <w:r>
        <w:rPr>
          <w:rFonts w:hint="eastAsia" w:ascii="宋体" w:hAnsi="宋体" w:cs="宋体"/>
        </w:rPr>
        <w:t xml:space="preserve">〇A.已婚有配偶        </w:t>
      </w:r>
    </w:p>
    <w:p w14:paraId="15F90415">
      <w:pPr>
        <w:adjustRightInd/>
        <w:spacing w:line="240" w:lineRule="auto"/>
        <w:ind w:firstLine="420" w:firstLineChars="200"/>
        <w:rPr>
          <w:rFonts w:ascii="宋体" w:hAnsi="宋体" w:cs="宋体"/>
        </w:rPr>
      </w:pPr>
      <w:r>
        <w:rPr>
          <w:rFonts w:hint="eastAsia" w:ascii="宋体" w:hAnsi="宋体" w:cs="宋体"/>
        </w:rPr>
        <w:t xml:space="preserve">〇B.离异      </w:t>
      </w:r>
    </w:p>
    <w:p w14:paraId="5B1D65EA">
      <w:pPr>
        <w:adjustRightInd/>
        <w:spacing w:line="240" w:lineRule="auto"/>
        <w:ind w:firstLine="420" w:firstLineChars="200"/>
        <w:rPr>
          <w:rFonts w:ascii="宋体" w:hAnsi="宋体" w:cs="宋体"/>
        </w:rPr>
      </w:pPr>
      <w:r>
        <w:rPr>
          <w:rFonts w:hint="eastAsia" w:ascii="宋体" w:hAnsi="宋体" w:cs="宋体"/>
        </w:rPr>
        <w:t>〇C.再婚有配偶</w:t>
      </w:r>
    </w:p>
    <w:p w14:paraId="26448FE3">
      <w:pPr>
        <w:adjustRightInd/>
        <w:spacing w:line="240" w:lineRule="auto"/>
        <w:ind w:firstLine="420" w:firstLineChars="200"/>
        <w:rPr>
          <w:rFonts w:ascii="宋体" w:hAnsi="宋体" w:cs="宋体"/>
        </w:rPr>
      </w:pPr>
      <w:r>
        <w:rPr>
          <w:rFonts w:hint="eastAsia" w:ascii="宋体" w:hAnsi="宋体" w:cs="宋体"/>
        </w:rPr>
        <w:t xml:space="preserve">〇D.丧偶              </w:t>
      </w:r>
    </w:p>
    <w:p w14:paraId="157FCE7E">
      <w:pPr>
        <w:adjustRightInd/>
        <w:spacing w:line="240" w:lineRule="auto"/>
        <w:ind w:firstLine="420" w:firstLineChars="200"/>
        <w:rPr>
          <w:rFonts w:ascii="宋体" w:hAnsi="宋体" w:cs="宋体"/>
        </w:rPr>
      </w:pPr>
      <w:r>
        <w:rPr>
          <w:rFonts w:hint="eastAsia" w:ascii="宋体" w:hAnsi="宋体" w:cs="宋体"/>
        </w:rPr>
        <w:t>〇E.未婚</w:t>
      </w:r>
    </w:p>
    <w:p w14:paraId="0CBBACA3">
      <w:pPr>
        <w:adjustRightInd/>
        <w:spacing w:line="240" w:lineRule="auto"/>
        <w:rPr>
          <w:rFonts w:ascii="宋体" w:hAnsi="宋体" w:cs="宋体"/>
        </w:rPr>
      </w:pPr>
      <w:r>
        <w:rPr>
          <w:rFonts w:hint="eastAsia" w:ascii="宋体" w:hAnsi="宋体" w:cs="宋体"/>
        </w:rPr>
        <w:t>4.您目前的居住状况(  )</w:t>
      </w:r>
    </w:p>
    <w:p w14:paraId="666ED0F7">
      <w:pPr>
        <w:adjustRightInd/>
        <w:spacing w:line="240" w:lineRule="auto"/>
        <w:ind w:firstLine="420" w:firstLineChars="200"/>
        <w:rPr>
          <w:rFonts w:ascii="宋体" w:hAnsi="宋体" w:cs="宋体"/>
        </w:rPr>
      </w:pPr>
      <w:r>
        <w:rPr>
          <w:rFonts w:hint="eastAsia" w:ascii="宋体" w:hAnsi="宋体" w:cs="宋体"/>
        </w:rPr>
        <w:t xml:space="preserve">〇A.独自居家       </w:t>
      </w:r>
    </w:p>
    <w:p w14:paraId="0C6EBEA2">
      <w:pPr>
        <w:adjustRightInd/>
        <w:spacing w:line="240" w:lineRule="auto"/>
        <w:ind w:firstLine="420" w:firstLineChars="200"/>
        <w:rPr>
          <w:rFonts w:ascii="宋体" w:hAnsi="宋体" w:cs="宋体"/>
        </w:rPr>
      </w:pPr>
      <w:r>
        <w:rPr>
          <w:rFonts w:hint="eastAsia" w:ascii="宋体" w:hAnsi="宋体" w:cs="宋体"/>
        </w:rPr>
        <w:t xml:space="preserve">〇B.与配偶居家   </w:t>
      </w:r>
    </w:p>
    <w:p w14:paraId="5BA15524">
      <w:pPr>
        <w:adjustRightInd/>
        <w:spacing w:line="240" w:lineRule="auto"/>
        <w:ind w:firstLine="420" w:firstLineChars="200"/>
        <w:rPr>
          <w:rFonts w:ascii="宋体" w:hAnsi="宋体" w:cs="宋体"/>
        </w:rPr>
      </w:pPr>
      <w:r>
        <w:rPr>
          <w:rFonts w:hint="eastAsia" w:ascii="宋体" w:hAnsi="宋体" w:cs="宋体"/>
        </w:rPr>
        <w:t>〇C.与子女居家</w:t>
      </w:r>
    </w:p>
    <w:p w14:paraId="02E58608">
      <w:pPr>
        <w:adjustRightInd/>
        <w:spacing w:line="240" w:lineRule="auto"/>
        <w:ind w:firstLine="420" w:firstLineChars="200"/>
        <w:rPr>
          <w:rFonts w:ascii="宋体" w:hAnsi="宋体" w:cs="宋体"/>
        </w:rPr>
      </w:pPr>
      <w:r>
        <w:rPr>
          <w:rFonts w:hint="eastAsia" w:ascii="宋体" w:hAnsi="宋体" w:cs="宋体"/>
        </w:rPr>
        <w:t xml:space="preserve">〇D.入住养老机构    </w:t>
      </w:r>
    </w:p>
    <w:p w14:paraId="6E223AB9">
      <w:pPr>
        <w:adjustRightInd/>
        <w:spacing w:line="240" w:lineRule="auto"/>
        <w:ind w:firstLine="420" w:firstLineChars="200"/>
        <w:rPr>
          <w:rFonts w:ascii="宋体" w:hAnsi="宋体" w:cs="宋体"/>
        </w:rPr>
      </w:pPr>
      <w:r>
        <w:rPr>
          <w:rFonts w:hint="eastAsia" w:ascii="宋体" w:hAnsi="宋体" w:cs="宋体"/>
        </w:rPr>
        <w:t>〇E.其他</w:t>
      </w:r>
    </w:p>
    <w:p w14:paraId="369D804E">
      <w:pPr>
        <w:adjustRightInd/>
        <w:spacing w:line="240" w:lineRule="auto"/>
        <w:rPr>
          <w:rFonts w:ascii="宋体" w:hAnsi="宋体" w:cs="宋体"/>
        </w:rPr>
      </w:pPr>
      <w:r>
        <w:rPr>
          <w:rFonts w:hint="eastAsia" w:ascii="宋体" w:hAnsi="宋体" w:cs="宋体"/>
        </w:rPr>
        <w:t>5.您的身体健康状况(  )</w:t>
      </w:r>
    </w:p>
    <w:p w14:paraId="76F26480">
      <w:pPr>
        <w:adjustRightInd/>
        <w:spacing w:line="240" w:lineRule="auto"/>
        <w:ind w:firstLine="420" w:firstLineChars="200"/>
        <w:rPr>
          <w:rFonts w:ascii="宋体" w:hAnsi="宋体" w:cs="宋体"/>
        </w:rPr>
      </w:pPr>
      <w:r>
        <w:rPr>
          <w:rFonts w:hint="eastAsia" w:ascii="宋体" w:hAnsi="宋体" w:cs="宋体"/>
        </w:rPr>
        <w:t>〇A.健康,没有疾病</w:t>
      </w:r>
    </w:p>
    <w:p w14:paraId="19CD1A7C">
      <w:pPr>
        <w:adjustRightInd/>
        <w:spacing w:line="240" w:lineRule="auto"/>
        <w:ind w:firstLine="420" w:firstLineChars="200"/>
        <w:rPr>
          <w:rFonts w:ascii="宋体" w:hAnsi="宋体" w:cs="宋体"/>
        </w:rPr>
      </w:pPr>
      <w:r>
        <w:rPr>
          <w:rFonts w:hint="eastAsia" w:ascii="宋体" w:hAnsi="宋体" w:cs="宋体"/>
        </w:rPr>
        <w:t>〇B.有疾病,但生活能自理</w:t>
      </w:r>
    </w:p>
    <w:p w14:paraId="1D0859D6">
      <w:pPr>
        <w:adjustRightInd/>
        <w:spacing w:line="240" w:lineRule="auto"/>
        <w:ind w:firstLine="420" w:firstLineChars="200"/>
        <w:rPr>
          <w:rFonts w:ascii="宋体" w:hAnsi="宋体" w:cs="宋体"/>
        </w:rPr>
      </w:pPr>
      <w:r>
        <w:rPr>
          <w:rFonts w:hint="eastAsia" w:ascii="宋体" w:hAnsi="宋体" w:cs="宋体"/>
        </w:rPr>
        <w:t>〇C.有疾病,生活半自理</w:t>
      </w:r>
    </w:p>
    <w:p w14:paraId="72DF38CC">
      <w:pPr>
        <w:adjustRightInd/>
        <w:spacing w:line="240" w:lineRule="auto"/>
        <w:ind w:firstLine="420" w:firstLineChars="200"/>
        <w:rPr>
          <w:rFonts w:ascii="宋体" w:hAnsi="宋体" w:cs="宋体"/>
        </w:rPr>
      </w:pPr>
      <w:r>
        <w:rPr>
          <w:rFonts w:hint="eastAsia" w:ascii="宋体" w:hAnsi="宋体" w:cs="宋体"/>
        </w:rPr>
        <w:t>〇D.生活不能自理</w:t>
      </w:r>
    </w:p>
    <w:p w14:paraId="0FE31722">
      <w:pPr>
        <w:adjustRightInd/>
        <w:spacing w:line="240" w:lineRule="auto"/>
        <w:rPr>
          <w:rFonts w:ascii="宋体" w:hAnsi="宋体" w:cs="宋体"/>
        </w:rPr>
      </w:pPr>
      <w:r>
        <w:rPr>
          <w:rFonts w:hint="eastAsia" w:ascii="宋体" w:hAnsi="宋体" w:cs="宋体"/>
        </w:rPr>
        <w:t>6.您所在支部的联络员是否与您保持经常性联系？</w:t>
      </w:r>
    </w:p>
    <w:p w14:paraId="7DEE47EB">
      <w:pPr>
        <w:adjustRightInd/>
        <w:spacing w:line="240" w:lineRule="auto"/>
        <w:ind w:firstLine="420" w:firstLineChars="200"/>
        <w:rPr>
          <w:rFonts w:ascii="宋体" w:hAnsi="宋体" w:cs="宋体"/>
        </w:rPr>
      </w:pPr>
      <w:r>
        <w:rPr>
          <w:rFonts w:hint="eastAsia" w:ascii="宋体" w:hAnsi="宋体" w:cs="宋体"/>
        </w:rPr>
        <w:t>〇A.经常联系</w:t>
      </w:r>
    </w:p>
    <w:p w14:paraId="779D6BE4">
      <w:pPr>
        <w:adjustRightInd/>
        <w:spacing w:line="240" w:lineRule="auto"/>
        <w:ind w:firstLine="420" w:firstLineChars="200"/>
        <w:rPr>
          <w:rFonts w:ascii="宋体" w:hAnsi="宋体" w:cs="宋体"/>
        </w:rPr>
      </w:pPr>
      <w:r>
        <w:rPr>
          <w:rFonts w:hint="eastAsia" w:ascii="宋体" w:hAnsi="宋体" w:cs="宋体"/>
        </w:rPr>
        <w:t>〇B.偶尔联系</w:t>
      </w:r>
    </w:p>
    <w:p w14:paraId="6BC93634">
      <w:pPr>
        <w:adjustRightInd/>
        <w:spacing w:line="240" w:lineRule="auto"/>
        <w:ind w:firstLine="420" w:firstLineChars="200"/>
        <w:rPr>
          <w:rFonts w:ascii="宋体" w:hAnsi="宋体" w:cs="宋体"/>
        </w:rPr>
      </w:pPr>
      <w:r>
        <w:rPr>
          <w:rFonts w:hint="eastAsia" w:ascii="宋体" w:hAnsi="宋体" w:cs="宋体"/>
        </w:rPr>
        <w:t>〇C.从未联系</w:t>
      </w:r>
    </w:p>
    <w:p w14:paraId="67CBF1C7">
      <w:pPr>
        <w:adjustRightInd/>
        <w:spacing w:line="240" w:lineRule="auto"/>
        <w:rPr>
          <w:rFonts w:ascii="Times New Roman" w:hAnsi="Times New Roman"/>
          <w:szCs w:val="24"/>
        </w:rPr>
      </w:pPr>
      <w:r>
        <w:rPr>
          <w:rFonts w:hint="eastAsia" w:ascii="宋体" w:hAnsi="宋体" w:cs="宋体"/>
        </w:rPr>
        <w:t>7.</w:t>
      </w:r>
      <w:r>
        <w:rPr>
          <w:rFonts w:ascii="宋体" w:hAnsi="宋体"/>
          <w:szCs w:val="24"/>
        </w:rPr>
        <w:t>您所在支部的联络员主要通过以下哪几种方式与您联络？</w:t>
      </w:r>
    </w:p>
    <w:p w14:paraId="3C0A8248">
      <w:pPr>
        <w:adjustRightInd/>
        <w:spacing w:line="240" w:lineRule="auto"/>
        <w:ind w:firstLine="420" w:firstLineChars="200"/>
        <w:rPr>
          <w:rFonts w:ascii="宋体" w:hAnsi="宋体" w:cs="宋体"/>
        </w:rPr>
      </w:pPr>
      <w:r>
        <w:rPr>
          <w:rFonts w:hint="eastAsia" w:ascii="宋体" w:hAnsi="宋体" w:cs="宋体"/>
        </w:rPr>
        <w:t>〇A.</w:t>
      </w:r>
      <w:r>
        <w:rPr>
          <w:rFonts w:ascii="宋体" w:hAnsi="宋体"/>
          <w:szCs w:val="24"/>
        </w:rPr>
        <w:t>上门走访</w:t>
      </w:r>
    </w:p>
    <w:p w14:paraId="07786273">
      <w:pPr>
        <w:adjustRightInd/>
        <w:spacing w:line="240" w:lineRule="auto"/>
        <w:ind w:firstLine="420" w:firstLineChars="200"/>
        <w:rPr>
          <w:rFonts w:ascii="宋体" w:hAnsi="宋体" w:cs="宋体"/>
        </w:rPr>
      </w:pPr>
      <w:r>
        <w:rPr>
          <w:rFonts w:hint="eastAsia" w:ascii="宋体" w:hAnsi="宋体" w:cs="宋体"/>
        </w:rPr>
        <w:t>〇B.</w:t>
      </w:r>
      <w:r>
        <w:rPr>
          <w:rFonts w:ascii="宋体" w:hAnsi="宋体"/>
          <w:szCs w:val="24"/>
        </w:rPr>
        <w:t>电话联系</w:t>
      </w:r>
    </w:p>
    <w:p w14:paraId="47F78FAF">
      <w:pPr>
        <w:adjustRightInd/>
        <w:spacing w:line="240" w:lineRule="auto"/>
        <w:ind w:firstLine="420" w:firstLineChars="200"/>
        <w:rPr>
          <w:rFonts w:ascii="宋体" w:hAnsi="宋体" w:cs="宋体"/>
        </w:rPr>
      </w:pPr>
      <w:r>
        <w:rPr>
          <w:rFonts w:hint="eastAsia" w:ascii="宋体" w:hAnsi="宋体" w:cs="宋体"/>
        </w:rPr>
        <w:t>〇C.</w:t>
      </w:r>
      <w:r>
        <w:rPr>
          <w:rFonts w:ascii="宋体" w:hAnsi="宋体"/>
          <w:szCs w:val="24"/>
        </w:rPr>
        <w:t>短信联系</w:t>
      </w:r>
    </w:p>
    <w:p w14:paraId="1C622F20">
      <w:pPr>
        <w:adjustRightInd/>
        <w:spacing w:line="240" w:lineRule="auto"/>
        <w:ind w:firstLine="420" w:firstLineChars="200"/>
        <w:rPr>
          <w:rFonts w:ascii="Times New Roman" w:hAnsi="Times New Roman"/>
          <w:szCs w:val="24"/>
        </w:rPr>
      </w:pPr>
      <w:r>
        <w:rPr>
          <w:rFonts w:hint="eastAsia" w:ascii="宋体" w:hAnsi="宋体" w:cs="宋体"/>
        </w:rPr>
        <w:t>〇D.</w:t>
      </w:r>
      <w:r>
        <w:rPr>
          <w:rFonts w:ascii="宋体" w:hAnsi="宋体"/>
          <w:szCs w:val="24"/>
        </w:rPr>
        <w:t>微信联系</w:t>
      </w:r>
    </w:p>
    <w:p w14:paraId="12BC62B1">
      <w:pPr>
        <w:adjustRightInd/>
        <w:spacing w:line="240" w:lineRule="auto"/>
        <w:ind w:firstLine="420" w:firstLineChars="200"/>
        <w:rPr>
          <w:rFonts w:ascii="Times New Roman" w:hAnsi="Times New Roman"/>
          <w:szCs w:val="24"/>
        </w:rPr>
      </w:pPr>
      <w:r>
        <w:rPr>
          <w:rFonts w:hint="eastAsia" w:ascii="宋体" w:hAnsi="宋体" w:cs="宋体"/>
        </w:rPr>
        <w:t>〇E.其他方式</w:t>
      </w:r>
    </w:p>
    <w:p w14:paraId="10CDC278">
      <w:pPr>
        <w:adjustRightInd/>
        <w:spacing w:line="240" w:lineRule="auto"/>
        <w:rPr>
          <w:rFonts w:ascii="Times New Roman" w:hAnsi="Times New Roman"/>
          <w:szCs w:val="24"/>
        </w:rPr>
      </w:pPr>
      <w:r>
        <w:rPr>
          <w:rFonts w:hint="eastAsia" w:ascii="宋体" w:hAnsi="宋体"/>
          <w:szCs w:val="24"/>
        </w:rPr>
        <w:t>8</w:t>
      </w:r>
      <w:r>
        <w:rPr>
          <w:rFonts w:hint="eastAsia" w:ascii="宋体" w:hAnsi="宋体" w:cs="宋体"/>
        </w:rPr>
        <w:t>.</w:t>
      </w:r>
      <w:r>
        <w:rPr>
          <w:rFonts w:ascii="宋体" w:hAnsi="宋体"/>
          <w:szCs w:val="24"/>
        </w:rPr>
        <w:t>您到访军休机构时，是否碰到没有工作人员的情况？</w:t>
      </w:r>
    </w:p>
    <w:p w14:paraId="03F185C0">
      <w:pPr>
        <w:adjustRightInd/>
        <w:spacing w:line="240" w:lineRule="auto"/>
        <w:ind w:firstLine="420" w:firstLineChars="200"/>
        <w:rPr>
          <w:rFonts w:ascii="宋体" w:hAnsi="宋体" w:cs="宋体"/>
        </w:rPr>
      </w:pPr>
      <w:r>
        <w:rPr>
          <w:rFonts w:hint="eastAsia" w:ascii="宋体" w:hAnsi="宋体" w:cs="宋体"/>
        </w:rPr>
        <w:t xml:space="preserve">〇A.是        </w:t>
      </w:r>
    </w:p>
    <w:p w14:paraId="38DA883F">
      <w:pPr>
        <w:adjustRightInd/>
        <w:spacing w:line="240" w:lineRule="auto"/>
        <w:ind w:firstLine="420" w:firstLineChars="200"/>
        <w:rPr>
          <w:rFonts w:ascii="Times New Roman" w:hAnsi="Times New Roman"/>
          <w:szCs w:val="24"/>
        </w:rPr>
      </w:pPr>
      <w:r>
        <w:rPr>
          <w:rFonts w:hint="eastAsia" w:ascii="宋体" w:hAnsi="宋体" w:cs="宋体"/>
        </w:rPr>
        <w:t>〇B.否</w:t>
      </w:r>
    </w:p>
    <w:p w14:paraId="42D9F829">
      <w:pPr>
        <w:adjustRightInd/>
        <w:spacing w:line="240" w:lineRule="auto"/>
        <w:rPr>
          <w:rFonts w:ascii="Times New Roman" w:hAnsi="Times New Roman"/>
          <w:szCs w:val="24"/>
        </w:rPr>
      </w:pPr>
      <w:r>
        <w:rPr>
          <w:rFonts w:hint="eastAsia" w:ascii="宋体" w:hAnsi="宋体"/>
          <w:szCs w:val="24"/>
        </w:rPr>
        <w:t>9</w:t>
      </w:r>
      <w:r>
        <w:rPr>
          <w:rFonts w:hint="eastAsia" w:ascii="宋体" w:hAnsi="宋体" w:cs="宋体"/>
        </w:rPr>
        <w:t>.</w:t>
      </w:r>
      <w:r>
        <w:rPr>
          <w:rFonts w:ascii="宋体" w:hAnsi="宋体"/>
          <w:szCs w:val="24"/>
        </w:rPr>
        <w:t>如果没有工作人员，是否有人提前告知或门上张贴告示？</w:t>
      </w:r>
    </w:p>
    <w:p w14:paraId="027A895E">
      <w:pPr>
        <w:adjustRightInd/>
        <w:spacing w:line="240" w:lineRule="auto"/>
        <w:ind w:firstLine="420" w:firstLineChars="200"/>
        <w:rPr>
          <w:rFonts w:ascii="宋体" w:hAnsi="宋体" w:cs="宋体"/>
        </w:rPr>
      </w:pPr>
      <w:r>
        <w:rPr>
          <w:rFonts w:hint="eastAsia" w:ascii="宋体" w:hAnsi="宋体" w:cs="宋体"/>
        </w:rPr>
        <w:t xml:space="preserve">〇A.是        </w:t>
      </w:r>
    </w:p>
    <w:p w14:paraId="21DB0351">
      <w:pPr>
        <w:adjustRightInd/>
        <w:spacing w:line="240" w:lineRule="auto"/>
        <w:ind w:firstLine="420" w:firstLineChars="200"/>
        <w:rPr>
          <w:rFonts w:ascii="Times New Roman" w:hAnsi="Times New Roman"/>
          <w:szCs w:val="24"/>
        </w:rPr>
      </w:pPr>
      <w:r>
        <w:rPr>
          <w:rFonts w:hint="eastAsia" w:ascii="宋体" w:hAnsi="宋体" w:cs="宋体"/>
        </w:rPr>
        <w:t>〇B.否</w:t>
      </w:r>
    </w:p>
    <w:p w14:paraId="6E4CDACF">
      <w:pPr>
        <w:adjustRightInd/>
        <w:spacing w:line="240" w:lineRule="auto"/>
        <w:rPr>
          <w:rFonts w:ascii="Times New Roman" w:hAnsi="Times New Roman"/>
          <w:szCs w:val="24"/>
        </w:rPr>
      </w:pPr>
      <w:r>
        <w:rPr>
          <w:rFonts w:hint="eastAsia" w:ascii="宋体" w:hAnsi="宋体"/>
          <w:szCs w:val="24"/>
        </w:rPr>
        <w:t>10</w:t>
      </w:r>
      <w:r>
        <w:rPr>
          <w:rFonts w:hint="eastAsia" w:ascii="宋体" w:hAnsi="宋体" w:cs="宋体"/>
        </w:rPr>
        <w:t>.</w:t>
      </w:r>
      <w:r>
        <w:rPr>
          <w:rFonts w:ascii="宋体" w:hAnsi="宋体"/>
          <w:szCs w:val="24"/>
        </w:rPr>
        <w:t>在您遇到困难向军休机构提出求助时，军休所能否及时解决？</w:t>
      </w:r>
    </w:p>
    <w:p w14:paraId="16FAA263">
      <w:pPr>
        <w:adjustRightInd/>
        <w:spacing w:line="240" w:lineRule="auto"/>
        <w:ind w:firstLine="420" w:firstLineChars="200"/>
        <w:rPr>
          <w:rFonts w:ascii="宋体" w:hAnsi="宋体" w:cs="宋体"/>
        </w:rPr>
      </w:pPr>
      <w:r>
        <w:rPr>
          <w:rFonts w:hint="eastAsia" w:ascii="宋体" w:hAnsi="宋体" w:cs="宋体"/>
        </w:rPr>
        <w:t xml:space="preserve">〇A.是        </w:t>
      </w:r>
    </w:p>
    <w:p w14:paraId="424A5CF3">
      <w:pPr>
        <w:adjustRightInd/>
        <w:spacing w:line="240" w:lineRule="auto"/>
        <w:ind w:firstLine="420" w:firstLineChars="200"/>
        <w:rPr>
          <w:rFonts w:ascii="Times New Roman" w:hAnsi="Times New Roman"/>
          <w:szCs w:val="24"/>
        </w:rPr>
      </w:pPr>
      <w:r>
        <w:rPr>
          <w:rFonts w:hint="eastAsia" w:ascii="宋体" w:hAnsi="宋体" w:cs="宋体"/>
        </w:rPr>
        <w:t>〇B.否</w:t>
      </w:r>
    </w:p>
    <w:p w14:paraId="3C3602EC">
      <w:pPr>
        <w:adjustRightInd/>
        <w:spacing w:line="240" w:lineRule="auto"/>
        <w:rPr>
          <w:rFonts w:ascii="Times New Roman" w:hAnsi="Times New Roman"/>
          <w:szCs w:val="24"/>
        </w:rPr>
      </w:pPr>
      <w:r>
        <w:rPr>
          <w:rFonts w:hint="eastAsia" w:ascii="宋体" w:hAnsi="宋体"/>
          <w:szCs w:val="24"/>
        </w:rPr>
        <w:t>11</w:t>
      </w:r>
      <w:r>
        <w:rPr>
          <w:rFonts w:hint="eastAsia" w:ascii="宋体" w:hAnsi="宋体" w:cs="宋体"/>
        </w:rPr>
        <w:t>.</w:t>
      </w:r>
      <w:r>
        <w:rPr>
          <w:rFonts w:ascii="宋体" w:hAnsi="宋体"/>
          <w:szCs w:val="24"/>
        </w:rPr>
        <w:t>如果没有及时处理或不能处理的，是否向您做好解释工作？</w:t>
      </w:r>
    </w:p>
    <w:p w14:paraId="6E76339F">
      <w:pPr>
        <w:adjustRightInd/>
        <w:spacing w:line="240" w:lineRule="auto"/>
        <w:ind w:firstLine="420" w:firstLineChars="200"/>
        <w:rPr>
          <w:rFonts w:ascii="宋体" w:hAnsi="宋体" w:cs="宋体"/>
        </w:rPr>
      </w:pPr>
      <w:r>
        <w:rPr>
          <w:rFonts w:hint="eastAsia" w:ascii="宋体" w:hAnsi="宋体" w:cs="宋体"/>
        </w:rPr>
        <w:t xml:space="preserve">〇A.是        </w:t>
      </w:r>
    </w:p>
    <w:p w14:paraId="7A69AD7C">
      <w:pPr>
        <w:adjustRightInd/>
        <w:spacing w:line="240" w:lineRule="auto"/>
        <w:ind w:firstLine="420" w:firstLineChars="200"/>
        <w:rPr>
          <w:rFonts w:ascii="Times New Roman" w:hAnsi="Times New Roman"/>
          <w:szCs w:val="24"/>
        </w:rPr>
      </w:pPr>
      <w:r>
        <w:rPr>
          <w:rFonts w:hint="eastAsia" w:ascii="宋体" w:hAnsi="宋体" w:cs="宋体"/>
        </w:rPr>
        <w:t>〇B.否</w:t>
      </w:r>
    </w:p>
    <w:p w14:paraId="7F1A5C9F">
      <w:pPr>
        <w:adjustRightInd/>
        <w:spacing w:line="240" w:lineRule="auto"/>
        <w:rPr>
          <w:rFonts w:ascii="Times New Roman" w:hAnsi="Times New Roman"/>
          <w:szCs w:val="24"/>
        </w:rPr>
      </w:pPr>
      <w:r>
        <w:rPr>
          <w:rFonts w:hint="eastAsia" w:ascii="宋体" w:hAnsi="宋体"/>
          <w:szCs w:val="24"/>
        </w:rPr>
        <w:t>12</w:t>
      </w:r>
      <w:r>
        <w:rPr>
          <w:rFonts w:hint="eastAsia" w:ascii="宋体" w:hAnsi="宋体" w:cs="宋体"/>
        </w:rPr>
        <w:t>.</w:t>
      </w:r>
      <w:r>
        <w:rPr>
          <w:rFonts w:ascii="宋体" w:hAnsi="宋体"/>
          <w:szCs w:val="24"/>
        </w:rPr>
        <w:t>工作人员是否在重大节日期间上门、发信息或者电话慰问您？</w:t>
      </w:r>
    </w:p>
    <w:p w14:paraId="5944CDC1">
      <w:pPr>
        <w:adjustRightInd/>
        <w:spacing w:line="240" w:lineRule="auto"/>
        <w:ind w:firstLine="420" w:firstLineChars="200"/>
        <w:rPr>
          <w:rFonts w:ascii="宋体" w:hAnsi="宋体" w:cs="宋体"/>
        </w:rPr>
      </w:pPr>
      <w:r>
        <w:rPr>
          <w:rFonts w:hint="eastAsia" w:ascii="宋体" w:hAnsi="宋体" w:cs="宋体"/>
        </w:rPr>
        <w:t xml:space="preserve">〇A.是        </w:t>
      </w:r>
    </w:p>
    <w:p w14:paraId="4819CCD4">
      <w:pPr>
        <w:adjustRightInd/>
        <w:spacing w:line="240" w:lineRule="auto"/>
        <w:ind w:firstLine="420" w:firstLineChars="200"/>
        <w:rPr>
          <w:rFonts w:ascii="Times New Roman" w:hAnsi="Times New Roman"/>
          <w:szCs w:val="24"/>
        </w:rPr>
      </w:pPr>
      <w:r>
        <w:rPr>
          <w:rFonts w:hint="eastAsia" w:ascii="宋体" w:hAnsi="宋体" w:cs="宋体"/>
        </w:rPr>
        <w:t>〇B.否</w:t>
      </w:r>
    </w:p>
    <w:p w14:paraId="2131464B">
      <w:pPr>
        <w:adjustRightInd/>
        <w:spacing w:line="240" w:lineRule="auto"/>
        <w:rPr>
          <w:rFonts w:ascii="Times New Roman" w:hAnsi="Times New Roman"/>
          <w:szCs w:val="24"/>
        </w:rPr>
      </w:pPr>
      <w:r>
        <w:rPr>
          <w:rFonts w:hint="eastAsia" w:ascii="宋体" w:hAnsi="宋体"/>
          <w:szCs w:val="24"/>
        </w:rPr>
        <w:t>13</w:t>
      </w:r>
      <w:r>
        <w:rPr>
          <w:rFonts w:hint="eastAsia" w:ascii="宋体" w:hAnsi="宋体" w:cs="宋体"/>
        </w:rPr>
        <w:t>.</w:t>
      </w:r>
      <w:r>
        <w:rPr>
          <w:rFonts w:ascii="宋体" w:hAnsi="宋体"/>
          <w:szCs w:val="24"/>
        </w:rPr>
        <w:t>您对工作人员工作过程遵纪守法是否满意？</w:t>
      </w:r>
    </w:p>
    <w:p w14:paraId="3CD3FFD9">
      <w:pPr>
        <w:adjustRightInd/>
        <w:spacing w:line="240" w:lineRule="auto"/>
        <w:ind w:firstLine="420" w:firstLineChars="200"/>
        <w:rPr>
          <w:rFonts w:ascii="宋体" w:hAnsi="宋体" w:cs="宋体"/>
        </w:rPr>
      </w:pPr>
      <w:r>
        <w:rPr>
          <w:rFonts w:hint="eastAsia" w:ascii="宋体" w:hAnsi="宋体" w:cs="宋体"/>
        </w:rPr>
        <w:t>〇A.</w:t>
      </w:r>
      <w:r>
        <w:rPr>
          <w:rFonts w:ascii="宋体" w:hAnsi="宋体"/>
          <w:szCs w:val="24"/>
        </w:rPr>
        <w:t>很满意</w:t>
      </w:r>
    </w:p>
    <w:p w14:paraId="1AD3C18C">
      <w:pPr>
        <w:adjustRightInd/>
        <w:spacing w:line="240" w:lineRule="auto"/>
        <w:ind w:firstLine="420" w:firstLineChars="200"/>
        <w:rPr>
          <w:rFonts w:ascii="宋体" w:hAnsi="宋体" w:cs="宋体"/>
        </w:rPr>
      </w:pPr>
      <w:r>
        <w:rPr>
          <w:rFonts w:hint="eastAsia" w:ascii="宋体" w:hAnsi="宋体" w:cs="宋体"/>
        </w:rPr>
        <w:t>〇B.</w:t>
      </w:r>
      <w:r>
        <w:rPr>
          <w:rFonts w:ascii="宋体" w:hAnsi="宋体"/>
          <w:szCs w:val="24"/>
        </w:rPr>
        <w:t>满意</w:t>
      </w:r>
    </w:p>
    <w:p w14:paraId="4E792B1D">
      <w:pPr>
        <w:adjustRightInd/>
        <w:spacing w:line="240" w:lineRule="auto"/>
        <w:ind w:firstLine="420" w:firstLineChars="200"/>
        <w:rPr>
          <w:rFonts w:ascii="Times New Roman" w:hAnsi="Times New Roman"/>
          <w:szCs w:val="24"/>
        </w:rPr>
      </w:pPr>
      <w:r>
        <w:rPr>
          <w:rFonts w:hint="eastAsia" w:ascii="宋体" w:hAnsi="宋体" w:cs="宋体"/>
        </w:rPr>
        <w:t>〇C.</w:t>
      </w:r>
      <w:r>
        <w:rPr>
          <w:rFonts w:ascii="宋体" w:hAnsi="宋体"/>
          <w:szCs w:val="24"/>
        </w:rPr>
        <w:t>一般</w:t>
      </w:r>
    </w:p>
    <w:p w14:paraId="4AE0FA0E">
      <w:pPr>
        <w:adjustRightInd/>
        <w:spacing w:line="240" w:lineRule="auto"/>
        <w:ind w:firstLine="420" w:firstLineChars="200"/>
        <w:rPr>
          <w:rFonts w:ascii="宋体" w:hAnsi="宋体"/>
          <w:szCs w:val="24"/>
        </w:rPr>
      </w:pPr>
      <w:r>
        <w:rPr>
          <w:rFonts w:hint="eastAsia" w:ascii="宋体" w:hAnsi="宋体" w:cs="宋体"/>
        </w:rPr>
        <w:t>〇D.</w:t>
      </w:r>
      <w:r>
        <w:rPr>
          <w:rFonts w:ascii="宋体" w:hAnsi="宋体"/>
          <w:szCs w:val="24"/>
        </w:rPr>
        <w:t>不满意</w:t>
      </w:r>
    </w:p>
    <w:p w14:paraId="115CE693">
      <w:pPr>
        <w:adjustRightInd/>
        <w:spacing w:line="240" w:lineRule="auto"/>
        <w:rPr>
          <w:rFonts w:ascii="Times New Roman" w:hAnsi="Times New Roman"/>
          <w:szCs w:val="24"/>
        </w:rPr>
      </w:pPr>
      <w:r>
        <w:rPr>
          <w:rFonts w:ascii="宋体" w:hAnsi="宋体"/>
          <w:szCs w:val="24"/>
        </w:rPr>
        <w:t>您选择一般或不满意的原因是</w:t>
      </w:r>
      <w:r>
        <w:rPr>
          <w:rFonts w:hint="eastAsia" w:ascii="宋体" w:hAnsi="宋体"/>
          <w:szCs w:val="24"/>
        </w:rPr>
        <w:t>：</w:t>
      </w:r>
    </w:p>
    <w:p w14:paraId="23CADFB0">
      <w:pPr>
        <w:adjustRightInd/>
        <w:spacing w:line="240" w:lineRule="auto"/>
        <w:rPr>
          <w:rFonts w:ascii="Times New Roman" w:hAnsi="Times New Roman"/>
          <w:szCs w:val="24"/>
        </w:rPr>
      </w:pPr>
      <w:r>
        <w:rPr>
          <w:rFonts w:ascii="Times New Roman" w:hAnsi="Times New Roman"/>
          <w:szCs w:val="24"/>
        </w:rPr>
        <w:t xml:space="preserve"> </w:t>
      </w:r>
    </w:p>
    <w:p w14:paraId="7C41558C">
      <w:pPr>
        <w:adjustRightInd/>
        <w:spacing w:line="240" w:lineRule="auto"/>
        <w:rPr>
          <w:rFonts w:ascii="宋体" w:hAnsi="宋体"/>
          <w:szCs w:val="24"/>
        </w:rPr>
      </w:pPr>
    </w:p>
    <w:p w14:paraId="60BC0B46">
      <w:pPr>
        <w:adjustRightInd/>
        <w:spacing w:line="240" w:lineRule="auto"/>
        <w:rPr>
          <w:rFonts w:ascii="Times New Roman" w:hAnsi="Times New Roman"/>
          <w:szCs w:val="24"/>
        </w:rPr>
      </w:pPr>
      <w:r>
        <w:rPr>
          <w:rFonts w:ascii="Times New Roman" w:hAnsi="Times New Roman"/>
          <w:szCs w:val="24"/>
        </w:rPr>
        <w:t>1</w:t>
      </w:r>
      <w:r>
        <w:rPr>
          <w:rFonts w:hint="eastAsia" w:ascii="Times New Roman" w:hAnsi="Times New Roman"/>
          <w:szCs w:val="24"/>
        </w:rPr>
        <w:t>4</w:t>
      </w:r>
      <w:r>
        <w:rPr>
          <w:rFonts w:hint="eastAsia" w:ascii="宋体" w:hAnsi="宋体" w:cs="宋体"/>
        </w:rPr>
        <w:t>.</w:t>
      </w:r>
      <w:r>
        <w:rPr>
          <w:rFonts w:ascii="Times New Roman" w:hAnsi="Times New Roman"/>
          <w:szCs w:val="24"/>
        </w:rPr>
        <w:t xml:space="preserve"> </w:t>
      </w:r>
      <w:r>
        <w:rPr>
          <w:rFonts w:ascii="宋体" w:hAnsi="宋体"/>
          <w:szCs w:val="24"/>
        </w:rPr>
        <w:t>您对工作人员工作作风、服务态度是否满意？</w:t>
      </w:r>
    </w:p>
    <w:p w14:paraId="26628DD1">
      <w:pPr>
        <w:adjustRightInd/>
        <w:spacing w:line="240" w:lineRule="auto"/>
        <w:ind w:firstLine="420" w:firstLineChars="200"/>
        <w:rPr>
          <w:rFonts w:ascii="宋体" w:hAnsi="宋体" w:cs="宋体"/>
        </w:rPr>
      </w:pPr>
      <w:r>
        <w:rPr>
          <w:rFonts w:hint="eastAsia" w:ascii="宋体" w:hAnsi="宋体" w:cs="宋体"/>
        </w:rPr>
        <w:t>〇A.</w:t>
      </w:r>
      <w:r>
        <w:rPr>
          <w:rFonts w:ascii="宋体" w:hAnsi="宋体"/>
          <w:szCs w:val="24"/>
        </w:rPr>
        <w:t>很满意</w:t>
      </w:r>
    </w:p>
    <w:p w14:paraId="00A2F3C0">
      <w:pPr>
        <w:adjustRightInd/>
        <w:spacing w:line="240" w:lineRule="auto"/>
        <w:ind w:firstLine="420" w:firstLineChars="200"/>
        <w:rPr>
          <w:rFonts w:ascii="宋体" w:hAnsi="宋体" w:cs="宋体"/>
        </w:rPr>
      </w:pPr>
      <w:r>
        <w:rPr>
          <w:rFonts w:hint="eastAsia" w:ascii="宋体" w:hAnsi="宋体" w:cs="宋体"/>
        </w:rPr>
        <w:t>〇B.</w:t>
      </w:r>
      <w:r>
        <w:rPr>
          <w:rFonts w:ascii="宋体" w:hAnsi="宋体"/>
          <w:szCs w:val="24"/>
        </w:rPr>
        <w:t>满意</w:t>
      </w:r>
    </w:p>
    <w:p w14:paraId="752B98F7">
      <w:pPr>
        <w:adjustRightInd/>
        <w:spacing w:line="240" w:lineRule="auto"/>
        <w:ind w:firstLine="420" w:firstLineChars="200"/>
        <w:rPr>
          <w:rFonts w:ascii="Times New Roman" w:hAnsi="Times New Roman"/>
          <w:szCs w:val="24"/>
        </w:rPr>
      </w:pPr>
      <w:r>
        <w:rPr>
          <w:rFonts w:hint="eastAsia" w:ascii="宋体" w:hAnsi="宋体" w:cs="宋体"/>
        </w:rPr>
        <w:t>〇C.</w:t>
      </w:r>
      <w:r>
        <w:rPr>
          <w:rFonts w:ascii="宋体" w:hAnsi="宋体"/>
          <w:szCs w:val="24"/>
        </w:rPr>
        <w:t>一般</w:t>
      </w:r>
    </w:p>
    <w:p w14:paraId="08B93DB9">
      <w:pPr>
        <w:adjustRightInd/>
        <w:spacing w:line="240" w:lineRule="auto"/>
        <w:ind w:firstLine="420" w:firstLineChars="200"/>
        <w:rPr>
          <w:rFonts w:ascii="宋体" w:hAnsi="宋体"/>
          <w:szCs w:val="24"/>
        </w:rPr>
      </w:pPr>
      <w:r>
        <w:rPr>
          <w:rFonts w:hint="eastAsia" w:ascii="宋体" w:hAnsi="宋体" w:cs="宋体"/>
        </w:rPr>
        <w:t>〇D.</w:t>
      </w:r>
      <w:r>
        <w:rPr>
          <w:rFonts w:ascii="宋体" w:hAnsi="宋体"/>
          <w:szCs w:val="24"/>
        </w:rPr>
        <w:t>不满意</w:t>
      </w:r>
    </w:p>
    <w:p w14:paraId="46C68D97">
      <w:pPr>
        <w:adjustRightInd/>
        <w:spacing w:line="240" w:lineRule="auto"/>
        <w:rPr>
          <w:rFonts w:ascii="Times New Roman" w:hAnsi="Times New Roman"/>
          <w:szCs w:val="24"/>
        </w:rPr>
      </w:pPr>
      <w:r>
        <w:rPr>
          <w:rFonts w:ascii="宋体" w:hAnsi="宋体"/>
          <w:szCs w:val="24"/>
        </w:rPr>
        <w:t>您选择一般或不满意的原因是</w:t>
      </w:r>
      <w:r>
        <w:rPr>
          <w:rFonts w:hint="eastAsia" w:ascii="宋体" w:hAnsi="宋体"/>
          <w:szCs w:val="24"/>
        </w:rPr>
        <w:t>：</w:t>
      </w:r>
    </w:p>
    <w:p w14:paraId="25171F8A">
      <w:pPr>
        <w:adjustRightInd/>
        <w:spacing w:line="240" w:lineRule="auto"/>
        <w:rPr>
          <w:rFonts w:ascii="Times New Roman" w:hAnsi="Times New Roman"/>
          <w:szCs w:val="24"/>
        </w:rPr>
      </w:pPr>
      <w:r>
        <w:rPr>
          <w:rFonts w:ascii="Times New Roman" w:hAnsi="Times New Roman"/>
          <w:szCs w:val="24"/>
        </w:rPr>
        <w:t xml:space="preserve"> </w:t>
      </w:r>
    </w:p>
    <w:p w14:paraId="739705DD">
      <w:pPr>
        <w:adjustRightInd/>
        <w:spacing w:line="240" w:lineRule="auto"/>
        <w:rPr>
          <w:rFonts w:ascii="宋体" w:hAnsi="宋体"/>
          <w:szCs w:val="24"/>
        </w:rPr>
      </w:pPr>
    </w:p>
    <w:p w14:paraId="743A46A4">
      <w:pPr>
        <w:adjustRightInd/>
        <w:spacing w:line="240" w:lineRule="auto"/>
        <w:rPr>
          <w:rFonts w:ascii="Times New Roman" w:hAnsi="Times New Roman"/>
          <w:szCs w:val="24"/>
        </w:rPr>
      </w:pPr>
      <w:r>
        <w:rPr>
          <w:rFonts w:ascii="Times New Roman" w:hAnsi="Times New Roman"/>
          <w:szCs w:val="24"/>
        </w:rPr>
        <w:t>1</w:t>
      </w:r>
      <w:r>
        <w:rPr>
          <w:rFonts w:hint="eastAsia" w:ascii="Times New Roman" w:hAnsi="Times New Roman"/>
          <w:szCs w:val="24"/>
        </w:rPr>
        <w:t>5</w:t>
      </w:r>
      <w:r>
        <w:rPr>
          <w:rFonts w:ascii="Times New Roman" w:hAnsi="Times New Roman"/>
          <w:szCs w:val="24"/>
        </w:rPr>
        <w:t xml:space="preserve"> </w:t>
      </w:r>
      <w:r>
        <w:rPr>
          <w:rFonts w:hint="eastAsia" w:ascii="宋体" w:hAnsi="宋体" w:cs="宋体"/>
        </w:rPr>
        <w:t>.</w:t>
      </w:r>
      <w:r>
        <w:rPr>
          <w:rFonts w:ascii="宋体" w:hAnsi="宋体"/>
          <w:szCs w:val="24"/>
        </w:rPr>
        <w:t>您对工作人员的服务水平和服务效率是否满意？</w:t>
      </w:r>
    </w:p>
    <w:p w14:paraId="74EFA18E">
      <w:pPr>
        <w:adjustRightInd/>
        <w:spacing w:line="240" w:lineRule="auto"/>
        <w:ind w:firstLine="420" w:firstLineChars="200"/>
        <w:rPr>
          <w:rFonts w:ascii="宋体" w:hAnsi="宋体" w:cs="宋体"/>
        </w:rPr>
      </w:pPr>
      <w:r>
        <w:rPr>
          <w:rFonts w:hint="eastAsia" w:ascii="宋体" w:hAnsi="宋体" w:cs="宋体"/>
        </w:rPr>
        <w:t>〇A.</w:t>
      </w:r>
      <w:r>
        <w:rPr>
          <w:rFonts w:ascii="宋体" w:hAnsi="宋体"/>
          <w:szCs w:val="24"/>
        </w:rPr>
        <w:t>很满意</w:t>
      </w:r>
    </w:p>
    <w:p w14:paraId="4FFCEC3A">
      <w:pPr>
        <w:adjustRightInd/>
        <w:spacing w:line="240" w:lineRule="auto"/>
        <w:ind w:firstLine="420" w:firstLineChars="200"/>
        <w:rPr>
          <w:rFonts w:ascii="宋体" w:hAnsi="宋体" w:cs="宋体"/>
        </w:rPr>
      </w:pPr>
      <w:r>
        <w:rPr>
          <w:rFonts w:hint="eastAsia" w:ascii="宋体" w:hAnsi="宋体" w:cs="宋体"/>
        </w:rPr>
        <w:t>〇B.</w:t>
      </w:r>
      <w:r>
        <w:rPr>
          <w:rFonts w:ascii="宋体" w:hAnsi="宋体"/>
          <w:szCs w:val="24"/>
        </w:rPr>
        <w:t>满意</w:t>
      </w:r>
    </w:p>
    <w:p w14:paraId="15E8544D">
      <w:pPr>
        <w:adjustRightInd/>
        <w:spacing w:line="240" w:lineRule="auto"/>
        <w:ind w:firstLine="420" w:firstLineChars="200"/>
        <w:rPr>
          <w:rFonts w:ascii="Times New Roman" w:hAnsi="Times New Roman"/>
          <w:szCs w:val="24"/>
        </w:rPr>
      </w:pPr>
      <w:r>
        <w:rPr>
          <w:rFonts w:hint="eastAsia" w:ascii="宋体" w:hAnsi="宋体" w:cs="宋体"/>
        </w:rPr>
        <w:t>〇C.</w:t>
      </w:r>
      <w:r>
        <w:rPr>
          <w:rFonts w:ascii="宋体" w:hAnsi="宋体"/>
          <w:szCs w:val="24"/>
        </w:rPr>
        <w:t>一般</w:t>
      </w:r>
    </w:p>
    <w:p w14:paraId="43D46B42">
      <w:pPr>
        <w:adjustRightInd/>
        <w:spacing w:line="240" w:lineRule="auto"/>
        <w:ind w:firstLine="420" w:firstLineChars="200"/>
        <w:rPr>
          <w:rFonts w:ascii="宋体" w:hAnsi="宋体"/>
          <w:szCs w:val="24"/>
        </w:rPr>
      </w:pPr>
      <w:r>
        <w:rPr>
          <w:rFonts w:hint="eastAsia" w:ascii="宋体" w:hAnsi="宋体" w:cs="宋体"/>
        </w:rPr>
        <w:t>〇D.</w:t>
      </w:r>
      <w:r>
        <w:rPr>
          <w:rFonts w:ascii="宋体" w:hAnsi="宋体"/>
          <w:szCs w:val="24"/>
        </w:rPr>
        <w:t>不满意</w:t>
      </w:r>
    </w:p>
    <w:p w14:paraId="31885927">
      <w:pPr>
        <w:adjustRightInd/>
        <w:spacing w:line="240" w:lineRule="auto"/>
        <w:rPr>
          <w:rFonts w:ascii="Times New Roman" w:hAnsi="Times New Roman"/>
          <w:szCs w:val="24"/>
        </w:rPr>
      </w:pPr>
      <w:r>
        <w:rPr>
          <w:rFonts w:ascii="宋体" w:hAnsi="宋体"/>
          <w:szCs w:val="24"/>
        </w:rPr>
        <w:t>您选择一般或不满意的原因是</w:t>
      </w:r>
      <w:r>
        <w:rPr>
          <w:rFonts w:hint="eastAsia" w:ascii="宋体" w:hAnsi="宋体"/>
          <w:szCs w:val="24"/>
        </w:rPr>
        <w:t>：</w:t>
      </w:r>
    </w:p>
    <w:p w14:paraId="1EEF5F88">
      <w:pPr>
        <w:adjustRightInd/>
        <w:spacing w:line="240" w:lineRule="auto"/>
        <w:rPr>
          <w:rFonts w:ascii="Times New Roman" w:hAnsi="Times New Roman"/>
          <w:szCs w:val="24"/>
        </w:rPr>
      </w:pPr>
      <w:r>
        <w:rPr>
          <w:rFonts w:ascii="Times New Roman" w:hAnsi="Times New Roman"/>
          <w:szCs w:val="24"/>
        </w:rPr>
        <w:t xml:space="preserve"> </w:t>
      </w:r>
    </w:p>
    <w:p w14:paraId="361FB061">
      <w:pPr>
        <w:adjustRightInd/>
        <w:spacing w:line="240" w:lineRule="auto"/>
        <w:rPr>
          <w:rFonts w:ascii="Times New Roman" w:hAnsi="Times New Roman"/>
          <w:szCs w:val="24"/>
        </w:rPr>
      </w:pPr>
      <w:r>
        <w:rPr>
          <w:rFonts w:ascii="Times New Roman" w:hAnsi="Times New Roman"/>
          <w:szCs w:val="24"/>
        </w:rPr>
        <w:t>1</w:t>
      </w:r>
      <w:r>
        <w:rPr>
          <w:rFonts w:hint="eastAsia" w:ascii="Times New Roman" w:hAnsi="Times New Roman"/>
          <w:szCs w:val="24"/>
        </w:rPr>
        <w:t>6</w:t>
      </w:r>
      <w:r>
        <w:rPr>
          <w:rFonts w:hint="eastAsia" w:ascii="宋体" w:hAnsi="宋体" w:cs="宋体"/>
        </w:rPr>
        <w:t>.</w:t>
      </w:r>
      <w:r>
        <w:rPr>
          <w:rFonts w:ascii="宋体" w:hAnsi="宋体"/>
          <w:szCs w:val="24"/>
        </w:rPr>
        <w:t>您对工作人员熟悉政策水平、业务技能是否满意？</w:t>
      </w:r>
    </w:p>
    <w:p w14:paraId="62A9B3D4">
      <w:pPr>
        <w:adjustRightInd/>
        <w:spacing w:line="240" w:lineRule="auto"/>
        <w:ind w:firstLine="420" w:firstLineChars="200"/>
        <w:rPr>
          <w:rFonts w:ascii="宋体" w:hAnsi="宋体" w:cs="宋体"/>
        </w:rPr>
      </w:pPr>
      <w:r>
        <w:rPr>
          <w:rFonts w:hint="eastAsia" w:ascii="宋体" w:hAnsi="宋体" w:cs="宋体"/>
        </w:rPr>
        <w:t>〇A.</w:t>
      </w:r>
      <w:r>
        <w:rPr>
          <w:rFonts w:ascii="宋体" w:hAnsi="宋体"/>
          <w:szCs w:val="24"/>
        </w:rPr>
        <w:t>很满意</w:t>
      </w:r>
    </w:p>
    <w:p w14:paraId="193AEFEA">
      <w:pPr>
        <w:adjustRightInd/>
        <w:spacing w:line="240" w:lineRule="auto"/>
        <w:ind w:firstLine="420" w:firstLineChars="200"/>
        <w:rPr>
          <w:rFonts w:ascii="宋体" w:hAnsi="宋体" w:cs="宋体"/>
        </w:rPr>
      </w:pPr>
      <w:r>
        <w:rPr>
          <w:rFonts w:hint="eastAsia" w:ascii="宋体" w:hAnsi="宋体" w:cs="宋体"/>
        </w:rPr>
        <w:t>〇B.</w:t>
      </w:r>
      <w:r>
        <w:rPr>
          <w:rFonts w:ascii="宋体" w:hAnsi="宋体"/>
          <w:szCs w:val="24"/>
        </w:rPr>
        <w:t>满意</w:t>
      </w:r>
    </w:p>
    <w:p w14:paraId="2059C40F">
      <w:pPr>
        <w:adjustRightInd/>
        <w:spacing w:line="240" w:lineRule="auto"/>
        <w:ind w:firstLine="420" w:firstLineChars="200"/>
        <w:rPr>
          <w:rFonts w:ascii="Times New Roman" w:hAnsi="Times New Roman"/>
          <w:szCs w:val="24"/>
        </w:rPr>
      </w:pPr>
      <w:r>
        <w:rPr>
          <w:rFonts w:hint="eastAsia" w:ascii="宋体" w:hAnsi="宋体" w:cs="宋体"/>
        </w:rPr>
        <w:t>〇C.</w:t>
      </w:r>
      <w:r>
        <w:rPr>
          <w:rFonts w:ascii="宋体" w:hAnsi="宋体"/>
          <w:szCs w:val="24"/>
        </w:rPr>
        <w:t>一般</w:t>
      </w:r>
    </w:p>
    <w:p w14:paraId="74026F8E">
      <w:pPr>
        <w:adjustRightInd/>
        <w:spacing w:line="240" w:lineRule="auto"/>
        <w:ind w:firstLine="420" w:firstLineChars="200"/>
        <w:rPr>
          <w:rFonts w:ascii="宋体" w:hAnsi="宋体"/>
          <w:szCs w:val="24"/>
        </w:rPr>
      </w:pPr>
      <w:r>
        <w:rPr>
          <w:rFonts w:hint="eastAsia" w:ascii="宋体" w:hAnsi="宋体" w:cs="宋体"/>
        </w:rPr>
        <w:t>〇D.</w:t>
      </w:r>
      <w:r>
        <w:rPr>
          <w:rFonts w:ascii="宋体" w:hAnsi="宋体"/>
          <w:szCs w:val="24"/>
        </w:rPr>
        <w:t>不满意</w:t>
      </w:r>
    </w:p>
    <w:p w14:paraId="08D2CBBA">
      <w:pPr>
        <w:adjustRightInd/>
        <w:spacing w:line="240" w:lineRule="auto"/>
        <w:rPr>
          <w:rFonts w:ascii="Times New Roman" w:hAnsi="Times New Roman"/>
          <w:szCs w:val="24"/>
        </w:rPr>
      </w:pPr>
      <w:r>
        <w:rPr>
          <w:rFonts w:ascii="宋体" w:hAnsi="宋体"/>
          <w:szCs w:val="24"/>
        </w:rPr>
        <w:t>您选择一般或不满意的原因是</w:t>
      </w:r>
      <w:r>
        <w:rPr>
          <w:rFonts w:hint="eastAsia" w:ascii="宋体" w:hAnsi="宋体"/>
          <w:szCs w:val="24"/>
        </w:rPr>
        <w:t>：</w:t>
      </w:r>
    </w:p>
    <w:p w14:paraId="12AB8CDE">
      <w:pPr>
        <w:adjustRightInd/>
        <w:spacing w:line="240" w:lineRule="auto"/>
        <w:rPr>
          <w:rFonts w:ascii="Times New Roman" w:hAnsi="Times New Roman"/>
          <w:szCs w:val="24"/>
        </w:rPr>
      </w:pPr>
      <w:r>
        <w:rPr>
          <w:rFonts w:ascii="Times New Roman" w:hAnsi="Times New Roman"/>
          <w:szCs w:val="24"/>
        </w:rPr>
        <w:t xml:space="preserve"> </w:t>
      </w:r>
    </w:p>
    <w:p w14:paraId="52206642">
      <w:pPr>
        <w:adjustRightInd/>
        <w:spacing w:line="240" w:lineRule="auto"/>
        <w:rPr>
          <w:rFonts w:ascii="Times New Roman" w:hAnsi="Times New Roman"/>
          <w:szCs w:val="24"/>
        </w:rPr>
      </w:pPr>
      <w:r>
        <w:rPr>
          <w:rFonts w:ascii="Times New Roman" w:hAnsi="Times New Roman"/>
          <w:szCs w:val="24"/>
        </w:rPr>
        <w:t xml:space="preserve"> 1</w:t>
      </w:r>
      <w:r>
        <w:rPr>
          <w:rFonts w:hint="eastAsia" w:ascii="Times New Roman" w:hAnsi="Times New Roman"/>
          <w:szCs w:val="24"/>
        </w:rPr>
        <w:t>7</w:t>
      </w:r>
      <w:r>
        <w:rPr>
          <w:rFonts w:hint="eastAsia" w:ascii="宋体" w:hAnsi="宋体" w:cs="宋体"/>
        </w:rPr>
        <w:t>.</w:t>
      </w:r>
      <w:r>
        <w:rPr>
          <w:rFonts w:ascii="Times New Roman" w:hAnsi="Times New Roman"/>
          <w:szCs w:val="24"/>
        </w:rPr>
        <w:t xml:space="preserve"> </w:t>
      </w:r>
      <w:r>
        <w:rPr>
          <w:rFonts w:ascii="宋体" w:hAnsi="宋体"/>
          <w:szCs w:val="24"/>
        </w:rPr>
        <w:t>您对军休机构工作人员本年度的总体服务情况是否满意？</w:t>
      </w:r>
    </w:p>
    <w:p w14:paraId="4FA667AF">
      <w:pPr>
        <w:adjustRightInd/>
        <w:spacing w:line="240" w:lineRule="auto"/>
        <w:ind w:firstLine="420" w:firstLineChars="200"/>
        <w:rPr>
          <w:rFonts w:ascii="宋体" w:hAnsi="宋体" w:cs="宋体"/>
        </w:rPr>
      </w:pPr>
      <w:r>
        <w:rPr>
          <w:rFonts w:hint="eastAsia" w:ascii="宋体" w:hAnsi="宋体" w:cs="宋体"/>
        </w:rPr>
        <w:t>〇A.</w:t>
      </w:r>
      <w:r>
        <w:rPr>
          <w:rFonts w:ascii="宋体" w:hAnsi="宋体"/>
          <w:szCs w:val="24"/>
        </w:rPr>
        <w:t>很满意</w:t>
      </w:r>
    </w:p>
    <w:p w14:paraId="1125B1C2">
      <w:pPr>
        <w:adjustRightInd/>
        <w:spacing w:line="240" w:lineRule="auto"/>
        <w:ind w:firstLine="420" w:firstLineChars="200"/>
        <w:rPr>
          <w:rFonts w:ascii="宋体" w:hAnsi="宋体" w:cs="宋体"/>
        </w:rPr>
      </w:pPr>
      <w:r>
        <w:rPr>
          <w:rFonts w:hint="eastAsia" w:ascii="宋体" w:hAnsi="宋体" w:cs="宋体"/>
        </w:rPr>
        <w:t>〇B.</w:t>
      </w:r>
      <w:r>
        <w:rPr>
          <w:rFonts w:ascii="宋体" w:hAnsi="宋体"/>
          <w:szCs w:val="24"/>
        </w:rPr>
        <w:t>满意</w:t>
      </w:r>
    </w:p>
    <w:p w14:paraId="03A34E1A">
      <w:pPr>
        <w:adjustRightInd/>
        <w:spacing w:line="240" w:lineRule="auto"/>
        <w:ind w:firstLine="420" w:firstLineChars="200"/>
        <w:rPr>
          <w:rFonts w:ascii="Times New Roman" w:hAnsi="Times New Roman"/>
          <w:szCs w:val="24"/>
        </w:rPr>
      </w:pPr>
      <w:r>
        <w:rPr>
          <w:rFonts w:hint="eastAsia" w:ascii="宋体" w:hAnsi="宋体" w:cs="宋体"/>
        </w:rPr>
        <w:t>〇C.</w:t>
      </w:r>
      <w:r>
        <w:rPr>
          <w:rFonts w:ascii="宋体" w:hAnsi="宋体"/>
          <w:szCs w:val="24"/>
        </w:rPr>
        <w:t>一般</w:t>
      </w:r>
    </w:p>
    <w:p w14:paraId="07E931CB">
      <w:pPr>
        <w:adjustRightInd/>
        <w:spacing w:line="240" w:lineRule="auto"/>
        <w:ind w:firstLine="420" w:firstLineChars="200"/>
        <w:rPr>
          <w:rFonts w:ascii="宋体" w:hAnsi="宋体"/>
          <w:szCs w:val="24"/>
        </w:rPr>
      </w:pPr>
      <w:r>
        <w:rPr>
          <w:rFonts w:hint="eastAsia" w:ascii="宋体" w:hAnsi="宋体" w:cs="宋体"/>
        </w:rPr>
        <w:t>〇D.</w:t>
      </w:r>
      <w:r>
        <w:rPr>
          <w:rFonts w:ascii="宋体" w:hAnsi="宋体"/>
          <w:szCs w:val="24"/>
        </w:rPr>
        <w:t>不满意</w:t>
      </w:r>
    </w:p>
    <w:p w14:paraId="4C0C3ACD">
      <w:pPr>
        <w:adjustRightInd/>
        <w:spacing w:line="240" w:lineRule="auto"/>
        <w:rPr>
          <w:rFonts w:ascii="Times New Roman" w:hAnsi="Times New Roman"/>
          <w:szCs w:val="24"/>
        </w:rPr>
      </w:pPr>
      <w:r>
        <w:rPr>
          <w:rFonts w:ascii="宋体" w:hAnsi="宋体"/>
          <w:szCs w:val="24"/>
        </w:rPr>
        <w:t>您选择一般或不满意的原因是</w:t>
      </w:r>
      <w:r>
        <w:rPr>
          <w:rFonts w:hint="eastAsia" w:ascii="宋体" w:hAnsi="宋体"/>
          <w:szCs w:val="24"/>
        </w:rPr>
        <w:t>：</w:t>
      </w:r>
    </w:p>
    <w:p w14:paraId="7663ECB8">
      <w:pPr>
        <w:adjustRightInd/>
        <w:spacing w:line="240" w:lineRule="auto"/>
        <w:rPr>
          <w:rFonts w:ascii="Times New Roman" w:hAnsi="Times New Roman"/>
          <w:szCs w:val="24"/>
        </w:rPr>
      </w:pPr>
      <w:r>
        <w:rPr>
          <w:rFonts w:ascii="Times New Roman" w:hAnsi="Times New Roman"/>
          <w:szCs w:val="24"/>
        </w:rPr>
        <w:t xml:space="preserve"> </w:t>
      </w:r>
    </w:p>
    <w:p w14:paraId="5D3FB106">
      <w:pPr>
        <w:adjustRightInd/>
        <w:spacing w:line="240" w:lineRule="auto"/>
        <w:rPr>
          <w:rFonts w:ascii="Times New Roman" w:hAnsi="Times New Roman"/>
          <w:szCs w:val="24"/>
        </w:rPr>
      </w:pPr>
      <w:r>
        <w:rPr>
          <w:rFonts w:ascii="Times New Roman" w:hAnsi="Times New Roman"/>
          <w:szCs w:val="24"/>
        </w:rPr>
        <w:t>1</w:t>
      </w:r>
      <w:r>
        <w:rPr>
          <w:rFonts w:hint="eastAsia" w:ascii="Times New Roman" w:hAnsi="Times New Roman"/>
          <w:szCs w:val="24"/>
        </w:rPr>
        <w:t>8</w:t>
      </w:r>
      <w:r>
        <w:rPr>
          <w:rFonts w:hint="eastAsia" w:ascii="宋体" w:hAnsi="宋体" w:cs="宋体"/>
        </w:rPr>
        <w:t>.</w:t>
      </w:r>
      <w:r>
        <w:rPr>
          <w:rFonts w:ascii="Times New Roman" w:hAnsi="Times New Roman"/>
          <w:szCs w:val="24"/>
        </w:rPr>
        <w:t xml:space="preserve"> </w:t>
      </w:r>
      <w:r>
        <w:rPr>
          <w:rFonts w:ascii="宋体" w:hAnsi="宋体"/>
          <w:szCs w:val="24"/>
        </w:rPr>
        <w:t>您对军休机构开展的慰问工作是否满意？</w:t>
      </w:r>
    </w:p>
    <w:p w14:paraId="2EF63E81">
      <w:pPr>
        <w:adjustRightInd/>
        <w:spacing w:line="240" w:lineRule="auto"/>
        <w:ind w:firstLine="420" w:firstLineChars="200"/>
        <w:rPr>
          <w:rFonts w:ascii="宋体" w:hAnsi="宋体" w:cs="宋体"/>
        </w:rPr>
      </w:pPr>
      <w:r>
        <w:rPr>
          <w:rFonts w:hint="eastAsia" w:ascii="宋体" w:hAnsi="宋体" w:cs="宋体"/>
        </w:rPr>
        <w:t>〇A.</w:t>
      </w:r>
      <w:r>
        <w:rPr>
          <w:rFonts w:ascii="宋体" w:hAnsi="宋体"/>
          <w:szCs w:val="24"/>
        </w:rPr>
        <w:t>很满意</w:t>
      </w:r>
    </w:p>
    <w:p w14:paraId="43A01C2E">
      <w:pPr>
        <w:adjustRightInd/>
        <w:spacing w:line="240" w:lineRule="auto"/>
        <w:ind w:firstLine="420" w:firstLineChars="200"/>
        <w:rPr>
          <w:rFonts w:ascii="宋体" w:hAnsi="宋体" w:cs="宋体"/>
        </w:rPr>
      </w:pPr>
      <w:r>
        <w:rPr>
          <w:rFonts w:hint="eastAsia" w:ascii="宋体" w:hAnsi="宋体" w:cs="宋体"/>
        </w:rPr>
        <w:t>〇B.</w:t>
      </w:r>
      <w:r>
        <w:rPr>
          <w:rFonts w:ascii="宋体" w:hAnsi="宋体"/>
          <w:szCs w:val="24"/>
        </w:rPr>
        <w:t>满意</w:t>
      </w:r>
    </w:p>
    <w:p w14:paraId="2CC1CF7E">
      <w:pPr>
        <w:adjustRightInd/>
        <w:spacing w:line="240" w:lineRule="auto"/>
        <w:ind w:firstLine="420" w:firstLineChars="200"/>
        <w:rPr>
          <w:rFonts w:ascii="Times New Roman" w:hAnsi="Times New Roman"/>
          <w:szCs w:val="24"/>
        </w:rPr>
      </w:pPr>
      <w:r>
        <w:rPr>
          <w:rFonts w:hint="eastAsia" w:ascii="宋体" w:hAnsi="宋体" w:cs="宋体"/>
        </w:rPr>
        <w:t>〇C.</w:t>
      </w:r>
      <w:r>
        <w:rPr>
          <w:rFonts w:ascii="宋体" w:hAnsi="宋体"/>
          <w:szCs w:val="24"/>
        </w:rPr>
        <w:t>一般</w:t>
      </w:r>
    </w:p>
    <w:p w14:paraId="205CCA2B">
      <w:pPr>
        <w:adjustRightInd/>
        <w:spacing w:line="240" w:lineRule="auto"/>
        <w:ind w:firstLine="420" w:firstLineChars="200"/>
        <w:rPr>
          <w:rFonts w:ascii="宋体" w:hAnsi="宋体"/>
          <w:szCs w:val="24"/>
        </w:rPr>
      </w:pPr>
      <w:r>
        <w:rPr>
          <w:rFonts w:hint="eastAsia" w:ascii="宋体" w:hAnsi="宋体" w:cs="宋体"/>
        </w:rPr>
        <w:t>〇D.</w:t>
      </w:r>
      <w:r>
        <w:rPr>
          <w:rFonts w:ascii="宋体" w:hAnsi="宋体"/>
          <w:szCs w:val="24"/>
        </w:rPr>
        <w:t>不满意</w:t>
      </w:r>
    </w:p>
    <w:p w14:paraId="318121DA">
      <w:pPr>
        <w:adjustRightInd/>
        <w:spacing w:line="240" w:lineRule="auto"/>
        <w:rPr>
          <w:rFonts w:ascii="Times New Roman" w:hAnsi="Times New Roman"/>
          <w:szCs w:val="24"/>
        </w:rPr>
      </w:pPr>
      <w:r>
        <w:rPr>
          <w:rFonts w:ascii="宋体" w:hAnsi="宋体"/>
          <w:szCs w:val="24"/>
        </w:rPr>
        <w:t>您选择一般或不满意的原因是</w:t>
      </w:r>
      <w:r>
        <w:rPr>
          <w:rFonts w:hint="eastAsia" w:ascii="宋体" w:hAnsi="宋体"/>
          <w:szCs w:val="24"/>
        </w:rPr>
        <w:t>：</w:t>
      </w:r>
    </w:p>
    <w:p w14:paraId="39F81DC5">
      <w:pPr>
        <w:adjustRightInd/>
        <w:spacing w:line="240" w:lineRule="auto"/>
        <w:rPr>
          <w:rFonts w:ascii="Times New Roman" w:hAnsi="Times New Roman"/>
          <w:szCs w:val="24"/>
        </w:rPr>
      </w:pPr>
      <w:r>
        <w:rPr>
          <w:rFonts w:ascii="Times New Roman" w:hAnsi="Times New Roman"/>
          <w:szCs w:val="24"/>
        </w:rPr>
        <w:t xml:space="preserve"> </w:t>
      </w:r>
    </w:p>
    <w:p w14:paraId="61282219">
      <w:pPr>
        <w:pStyle w:val="56"/>
        <w:ind w:firstLine="0" w:firstLineChars="0"/>
      </w:pPr>
      <w:r>
        <w:rPr>
          <w:rFonts w:ascii="Times New Roman"/>
          <w:kern w:val="2"/>
          <w:szCs w:val="24"/>
        </w:rPr>
        <w:t>1</w:t>
      </w:r>
      <w:r>
        <w:rPr>
          <w:rFonts w:hint="eastAsia" w:ascii="Times New Roman"/>
          <w:kern w:val="2"/>
          <w:szCs w:val="24"/>
        </w:rPr>
        <w:t>9</w:t>
      </w:r>
      <w:r>
        <w:rPr>
          <w:rFonts w:hint="eastAsia" w:hAnsi="宋体" w:cs="宋体"/>
          <w:kern w:val="2"/>
          <w:szCs w:val="21"/>
        </w:rPr>
        <w:t>.</w:t>
      </w:r>
      <w:r>
        <w:rPr>
          <w:rFonts w:ascii="Times New Roman" w:hAnsi="宋体"/>
          <w:kern w:val="2"/>
          <w:szCs w:val="24"/>
        </w:rPr>
        <w:t>您对军休工作，如服务管理、活动开展、待遇落实等方面的意见和建议</w:t>
      </w:r>
      <w:r>
        <w:rPr>
          <w:rFonts w:hint="eastAsia" w:ascii="Times New Roman" w:hAnsi="宋体"/>
          <w:kern w:val="2"/>
          <w:szCs w:val="24"/>
        </w:rPr>
        <w:t>：</w:t>
      </w:r>
    </w:p>
    <w:p w14:paraId="5F22D576">
      <w:pPr>
        <w:pStyle w:val="56"/>
        <w:ind w:firstLine="420"/>
      </w:pPr>
    </w:p>
    <w:p w14:paraId="091F9C02">
      <w:pPr>
        <w:pStyle w:val="56"/>
        <w:ind w:firstLine="420"/>
      </w:pPr>
    </w:p>
    <w:p w14:paraId="1665C6FD">
      <w:pPr>
        <w:pStyle w:val="56"/>
        <w:ind w:firstLine="420"/>
      </w:pPr>
    </w:p>
    <w:p w14:paraId="7B06755E">
      <w:pPr>
        <w:pStyle w:val="56"/>
        <w:ind w:firstLine="420"/>
      </w:pPr>
    </w:p>
    <w:bookmarkEnd w:id="109"/>
    <w:p w14:paraId="5DBBFCB1">
      <w:pPr>
        <w:pStyle w:val="56"/>
        <w:ind w:firstLine="420"/>
        <w:sectPr>
          <w:pgSz w:w="11906" w:h="16838"/>
          <w:pgMar w:top="567" w:right="1134" w:bottom="1134" w:left="1134" w:header="1418" w:footer="1134" w:gutter="284"/>
          <w:cols w:space="425" w:num="1"/>
          <w:formProt w:val="0"/>
          <w:docGrid w:type="lines" w:linePitch="312" w:charSpace="0"/>
        </w:sectPr>
      </w:pPr>
      <w:bookmarkStart w:id="114" w:name="BookMark6"/>
    </w:p>
    <w:p w14:paraId="3496CF7F">
      <w:pPr>
        <w:pStyle w:val="63"/>
        <w:spacing w:before="124" w:after="156"/>
      </w:pPr>
      <w:bookmarkStart w:id="115" w:name="_Toc89940248"/>
      <w:bookmarkStart w:id="116" w:name="_Toc89957600"/>
      <w:r>
        <w:rPr>
          <w:rFonts w:hint="eastAsia"/>
          <w:spacing w:val="105"/>
        </w:rPr>
        <w:t>参考文</w:t>
      </w:r>
      <w:r>
        <w:rPr>
          <w:rFonts w:hint="eastAsia"/>
        </w:rPr>
        <w:t>献</w:t>
      </w:r>
      <w:bookmarkEnd w:id="115"/>
      <w:bookmarkEnd w:id="116"/>
    </w:p>
    <w:p w14:paraId="647282E6">
      <w:pPr>
        <w:pStyle w:val="56"/>
        <w:ind w:firstLine="420"/>
      </w:pPr>
      <w:r>
        <w:rPr>
          <w:rFonts w:hint="eastAsia"/>
        </w:rPr>
        <w:t>[1]　GB/T 17242—1998  投诉处理指南</w:t>
      </w:r>
    </w:p>
    <w:p w14:paraId="69A40976">
      <w:pPr>
        <w:pStyle w:val="56"/>
        <w:ind w:firstLine="420"/>
      </w:pPr>
      <w:r>
        <w:rPr>
          <w:rFonts w:hint="eastAsia"/>
        </w:rPr>
        <w:t>[2]　 《中共中央组织部 民政部党组关于加强移交地方政府安置管理的军队离休退休干部服务管理机构党组织建设的意见》（组通字〔2008〕16号）</w:t>
      </w:r>
    </w:p>
    <w:p w14:paraId="03A92190">
      <w:pPr>
        <w:pStyle w:val="56"/>
        <w:ind w:firstLine="420"/>
      </w:pPr>
      <w:r>
        <w:rPr>
          <w:rFonts w:hint="eastAsia"/>
        </w:rPr>
        <w:t>[3]　《军队离休退休干部服务管理办法》（中华人民共和国民政部第53号令，2014年9月23日公布）</w:t>
      </w:r>
    </w:p>
    <w:p w14:paraId="1AB8E619">
      <w:pPr>
        <w:pStyle w:val="56"/>
        <w:ind w:firstLine="420"/>
      </w:pPr>
      <w:r>
        <w:rPr>
          <w:rFonts w:hint="eastAsia"/>
        </w:rPr>
        <w:t>[4]　《军队离休退休干部服务管理机构工作指引》（民发〔2015〕102号）</w:t>
      </w:r>
    </w:p>
    <w:p w14:paraId="3AC0F471">
      <w:pPr>
        <w:pStyle w:val="56"/>
        <w:ind w:firstLine="420"/>
      </w:pPr>
      <w:r>
        <w:rPr>
          <w:rFonts w:hint="eastAsia"/>
        </w:rPr>
        <w:t>[5]　《退役军人事务部办公厅关于进一步加强军队离退休干部安全管理工作的通知》（退役军人办函〔2018〕216号）</w:t>
      </w:r>
    </w:p>
    <w:p w14:paraId="1A025864">
      <w:pPr>
        <w:pStyle w:val="56"/>
        <w:ind w:firstLine="420"/>
      </w:pPr>
      <w:r>
        <w:rPr>
          <w:rFonts w:hint="eastAsia"/>
        </w:rPr>
        <w:t>[6]　 《财政部 退役军人部 医保局关于修改退役安置等补助资金管理办法的通知》（财社[2019]225号）</w:t>
      </w:r>
    </w:p>
    <w:p w14:paraId="062C8E8C">
      <w:pPr>
        <w:pStyle w:val="56"/>
        <w:ind w:firstLine="420"/>
      </w:pPr>
      <w:r>
        <w:rPr>
          <w:rFonts w:hint="eastAsia"/>
        </w:rPr>
        <w:t>[7]　山东省退役军人事务厅等6部门《关于全面实施军休干部医养结合工作的意见》（鲁退役军人发〔2020〕49号）</w:t>
      </w:r>
    </w:p>
    <w:p w14:paraId="7761E1D6">
      <w:pPr>
        <w:pStyle w:val="56"/>
        <w:ind w:firstLine="420"/>
      </w:pPr>
      <w:r>
        <w:rPr>
          <w:rFonts w:hint="eastAsia"/>
        </w:rPr>
        <w:t>[8]　《退役军人事务部等6部门关于进一步提升移交政府安置的军队离休退休干部服务管理水平的通知》（退役军人部发〔2020〕56号）</w:t>
      </w:r>
    </w:p>
    <w:p w14:paraId="32058FF4">
      <w:pPr>
        <w:pStyle w:val="56"/>
        <w:ind w:firstLine="420"/>
      </w:pPr>
      <w:r>
        <w:rPr>
          <w:rFonts w:hint="eastAsia"/>
        </w:rPr>
        <w:t>[9]　山东省退役军人事务厅等4部门《关于加强移交政府安置的军队离休退休干部医疗保障工作的意见》（鲁退役军人发〔2020〕51号）</w:t>
      </w:r>
    </w:p>
    <w:p w14:paraId="5E72B7E9">
      <w:pPr>
        <w:pStyle w:val="56"/>
        <w:ind w:firstLine="420"/>
      </w:pPr>
      <w:r>
        <w:rPr>
          <w:rFonts w:hint="eastAsia"/>
        </w:rPr>
        <w:t>[10]　山东省退役军人事务厅等3部门 《关于鼓励和引导移交政府安置的军队离休退休干部发挥作用的意见》（鲁退役军人发〔2021〕18号）</w:t>
      </w:r>
    </w:p>
    <w:p w14:paraId="2C3CB52F">
      <w:pPr>
        <w:pStyle w:val="56"/>
        <w:ind w:firstLine="420"/>
      </w:pPr>
      <w:r>
        <w:rPr>
          <w:rFonts w:hint="eastAsia"/>
        </w:rPr>
        <w:t>[11]　上海市《军队离休退休干部服务管理机构服务规范》</w:t>
      </w:r>
    </w:p>
    <w:bookmarkEnd w:id="114"/>
    <w:p w14:paraId="1BD1617B">
      <w:pPr>
        <w:pStyle w:val="56"/>
        <w:ind w:firstLine="0" w:firstLineChars="0"/>
        <w:jc w:val="center"/>
      </w:pPr>
      <w:bookmarkStart w:id="117"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6"/>
                    <a:stretch>
                      <a:fillRect/>
                    </a:stretch>
                  </pic:blipFill>
                  <pic:spPr>
                    <a:xfrm>
                      <a:off x="0" y="0"/>
                      <a:ext cx="1485900" cy="317500"/>
                    </a:xfrm>
                    <a:prstGeom prst="rect">
                      <a:avLst/>
                    </a:prstGeom>
                  </pic:spPr>
                </pic:pic>
              </a:graphicData>
            </a:graphic>
          </wp:inline>
        </w:drawing>
      </w:r>
      <w:bookmarkEnd w:id="117"/>
    </w:p>
    <w:sectPr>
      <w:pgSz w:w="11906" w:h="16838"/>
      <w:pgMar w:top="567"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EU-B1"/>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EU-B1">
    <w:panose1 w:val="03000509000000000000"/>
    <w:charset w:val="86"/>
    <w:family w:val="auto"/>
    <w:pitch w:val="default"/>
    <w:sig w:usb0="00000001" w:usb1="080E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方正粗黑宋简体">
    <w:altName w:val="方正书宋_GBK"/>
    <w:panose1 w:val="02000000000000000000"/>
    <w:charset w:val="86"/>
    <w:family w:val="auto"/>
    <w:pitch w:val="default"/>
    <w:sig w:usb0="00000000" w:usb1="00000000" w:usb2="00000012" w:usb3="00000000" w:csb0="00040001" w:csb1="00000000"/>
  </w:font>
  <w:font w:name="C059">
    <w:panose1 w:val="00000500000000000000"/>
    <w:charset w:val="00"/>
    <w:family w:val="auto"/>
    <w:pitch w:val="default"/>
    <w:sig w:usb0="00000287" w:usb1="00000800" w:usb2="00000000" w:usb3="00000000" w:csb0="6000009F" w:csb1="00000000"/>
  </w:font>
  <w:font w:name="等线">
    <w:altName w:val="C059"/>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824EA">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A443F">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F0C5E">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70BA2">
    <w:pPr>
      <w:pStyle w:val="52"/>
    </w:pPr>
    <w:r>
      <w:fldChar w:fldCharType="begin"/>
    </w:r>
    <w:r>
      <w:instrText xml:space="preserve">PAGE   \* MERGEFORMAT</w:instrText>
    </w:r>
    <w:r>
      <w:fldChar w:fldCharType="separate"/>
    </w:r>
    <w:r>
      <w:rPr>
        <w:lang w:val="zh-CN"/>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4BD23">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0EA37">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BFCFC">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A241D">
    <w:pPr>
      <w:pStyle w:val="61"/>
    </w:pPr>
    <w:r>
      <w:fldChar w:fldCharType="begin"/>
    </w:r>
    <w:r>
      <w:instrText xml:space="preserve"> STYLEREF  标准文件_文件编号  \* MERGEFORMAT </w:instrText>
    </w:r>
    <w:r>
      <w:fldChar w:fldCharType="separate"/>
    </w:r>
    <w:r>
      <w:t>DB 37/T 4467—2021</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1DC62">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37/T 4467—2021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9"/>
  </w:num>
  <w:num w:numId="10">
    <w:abstractNumId w:val="17"/>
  </w:num>
  <w:num w:numId="11">
    <w:abstractNumId w:val="26"/>
  </w:num>
  <w:num w:numId="12">
    <w:abstractNumId w:val="12"/>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1"/>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dit="forms" w:enforcement="1" w:cryptProviderType="rsaFull" w:cryptAlgorithmClass="hash" w:cryptAlgorithmType="typeAny" w:cryptAlgorithmSid="4" w:cryptSpinCount="100000" w:hash="5QaTM4UNLMK/cQkzRmtJLmUnOVo=" w:salt="MF+5nUE3g8bA/afUpg/yUw=="/>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930"/>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03D"/>
    <w:rsid w:val="00146388"/>
    <w:rsid w:val="001529E5"/>
    <w:rsid w:val="00152CCA"/>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5C7"/>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4B5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5CA"/>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B95"/>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3439"/>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72FD6"/>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C7E24"/>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1930"/>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30D62"/>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0C40"/>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412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7C8"/>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E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3BF"/>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2D7A"/>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5BA007A2"/>
    <w:rsid w:val="72E6653E"/>
    <w:rsid w:val="9FFE51E7"/>
    <w:rsid w:val="FD5F332D"/>
    <w:rsid w:val="FF5BD8A3"/>
    <w:rsid w:val="FFFF7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rFonts w:ascii="Times New Roman" w:hAnsi="Times New Roman" w:eastAsia="宋体" w:cs="Times New Roman"/>
      <w:b/>
      <w:bCs/>
      <w:kern w:val="44"/>
      <w:sz w:val="44"/>
      <w:szCs w:val="44"/>
    </w:rPr>
  </w:style>
  <w:style w:type="character" w:customStyle="1" w:styleId="35">
    <w:name w:val="标题 2 字符"/>
    <w:link w:val="3"/>
    <w:qFormat/>
    <w:uiPriority w:val="0"/>
    <w:rPr>
      <w:rFonts w:ascii="Arial" w:hAnsi="Arial" w:eastAsia="黑体" w:cs="Times New Roman"/>
      <w:b/>
      <w:bCs/>
      <w:sz w:val="32"/>
      <w:szCs w:val="32"/>
    </w:rPr>
  </w:style>
  <w:style w:type="character" w:customStyle="1" w:styleId="36">
    <w:name w:val="标题 3 字符"/>
    <w:link w:val="4"/>
    <w:qFormat/>
    <w:uiPriority w:val="0"/>
    <w:rPr>
      <w:rFonts w:ascii="Times New Roman" w:hAnsi="Times New Roman" w:eastAsia="宋体" w:cs="Times New Roman"/>
      <w:b/>
      <w:bCs/>
      <w:sz w:val="32"/>
      <w:szCs w:val="32"/>
    </w:rPr>
  </w:style>
  <w:style w:type="character" w:customStyle="1" w:styleId="37">
    <w:name w:val="标题 4 字符"/>
    <w:link w:val="5"/>
    <w:qFormat/>
    <w:uiPriority w:val="0"/>
    <w:rPr>
      <w:rFonts w:ascii="Arial" w:hAnsi="Arial" w:eastAsia="黑体" w:cs="Times New Roman"/>
      <w:b/>
      <w:bCs/>
      <w:sz w:val="28"/>
      <w:szCs w:val="28"/>
    </w:rPr>
  </w:style>
  <w:style w:type="character" w:customStyle="1" w:styleId="38">
    <w:name w:val="标题 5 字符"/>
    <w:link w:val="6"/>
    <w:qFormat/>
    <w:uiPriority w:val="0"/>
    <w:rPr>
      <w:rFonts w:ascii="Times New Roman" w:hAnsi="Times New Roman" w:eastAsia="宋体" w:cs="Times New Roman"/>
      <w:b/>
      <w:bCs/>
      <w:sz w:val="28"/>
      <w:szCs w:val="28"/>
    </w:rPr>
  </w:style>
  <w:style w:type="character" w:customStyle="1" w:styleId="39">
    <w:name w:val="标题 6 字符"/>
    <w:link w:val="7"/>
    <w:qFormat/>
    <w:uiPriority w:val="0"/>
    <w:rPr>
      <w:rFonts w:ascii="Arial" w:hAnsi="Arial" w:eastAsia="黑体" w:cs="Times New Roman"/>
      <w:b/>
      <w:bCs/>
      <w:sz w:val="24"/>
      <w:szCs w:val="24"/>
    </w:rPr>
  </w:style>
  <w:style w:type="character" w:customStyle="1" w:styleId="40">
    <w:name w:val="标题 7 字符"/>
    <w:link w:val="8"/>
    <w:qFormat/>
    <w:uiPriority w:val="0"/>
    <w:rPr>
      <w:rFonts w:ascii="Times New Roman" w:hAnsi="Times New Roman" w:eastAsia="宋体" w:cs="Times New Roman"/>
      <w:b/>
      <w:bCs/>
      <w:sz w:val="24"/>
      <w:szCs w:val="24"/>
    </w:rPr>
  </w:style>
  <w:style w:type="character" w:customStyle="1" w:styleId="41">
    <w:name w:val="标题 8 字符"/>
    <w:link w:val="9"/>
    <w:qFormat/>
    <w:uiPriority w:val="0"/>
    <w:rPr>
      <w:rFonts w:ascii="Arial" w:hAnsi="Arial" w:eastAsia="黑体" w:cs="Times New Roman"/>
      <w:sz w:val="24"/>
      <w:szCs w:val="24"/>
    </w:rPr>
  </w:style>
  <w:style w:type="character" w:customStyle="1" w:styleId="42">
    <w:name w:val="标题 9 字符"/>
    <w:link w:val="10"/>
    <w:qFormat/>
    <w:uiPriority w:val="0"/>
    <w:rPr>
      <w:rFonts w:ascii="Arial" w:hAnsi="Arial" w:eastAsia="黑体" w:cs="Times New Roman"/>
      <w:szCs w:val="21"/>
    </w:rPr>
  </w:style>
  <w:style w:type="character" w:customStyle="1" w:styleId="43">
    <w:name w:val="页眉 字符"/>
    <w:link w:val="18"/>
    <w:qFormat/>
    <w:uiPriority w:val="99"/>
    <w:rPr>
      <w:rFonts w:ascii="Times New Roman" w:hAnsi="Times New Roman" w:eastAsia="宋体" w:cs="Times New Roman"/>
      <w:sz w:val="18"/>
      <w:szCs w:val="18"/>
    </w:rPr>
  </w:style>
  <w:style w:type="character" w:customStyle="1" w:styleId="44">
    <w:name w:val="页脚 字符"/>
    <w:link w:val="17"/>
    <w:qFormat/>
    <w:uiPriority w:val="99"/>
    <w:rPr>
      <w:rFonts w:ascii="宋体" w:hAnsi="Times New Roman" w:eastAsia="宋体" w:cs="Times New Roman"/>
      <w:sz w:val="18"/>
      <w:szCs w:val="18"/>
    </w:rPr>
  </w:style>
  <w:style w:type="character" w:customStyle="1" w:styleId="45">
    <w:name w:val="批注框文本 字符"/>
    <w:link w:val="16"/>
    <w:semiHidden/>
    <w:qFormat/>
    <w:uiPriority w:val="99"/>
    <w:rPr>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rPr>
  </w:style>
  <w:style w:type="character" w:customStyle="1" w:styleId="48">
    <w:name w:val="标题 字符"/>
    <w:link w:val="25"/>
    <w:qFormat/>
    <w:uiPriority w:val="0"/>
    <w:rPr>
      <w:rFonts w:ascii="Arial" w:hAnsi="Arial" w:eastAsia="宋体" w:cs="Arial"/>
      <w:b/>
      <w:bCs/>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rFonts w:ascii="Times New Roman" w:hAnsi="Times New Roman" w:eastAsia="宋体" w:cs="Times New Roman"/>
      <w:szCs w:val="20"/>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pPr>
  </w:style>
  <w:style w:type="paragraph" w:customStyle="1" w:styleId="91">
    <w:name w:val="标准文件_目录标题"/>
    <w:basedOn w:val="1"/>
    <w:qFormat/>
    <w:uiPriority w:val="0"/>
    <w:pPr>
      <w:spacing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ind w:left="0" w:firstLine="200"/>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hAnsi="Times New Roman" w:eastAsia="宋体" w:cs="Times New Roman"/>
      <w:sz w:val="18"/>
      <w:szCs w:val="18"/>
    </w:rPr>
  </w:style>
  <w:style w:type="paragraph" w:customStyle="1" w:styleId="100">
    <w:name w:val="标准文件_条文脚注"/>
    <w:basedOn w:val="21"/>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ind w:left="783"/>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left="1271" w:hanging="420" w:firstLineChars="0"/>
    </w:pPr>
  </w:style>
  <w:style w:type="paragraph" w:customStyle="1" w:styleId="188">
    <w:name w:val="标准文件_三级项2"/>
    <w:basedOn w:val="56"/>
    <w:qFormat/>
    <w:uiPriority w:val="0"/>
    <w:pPr>
      <w:numPr>
        <w:ilvl w:val="0"/>
        <w:numId w:val="30"/>
      </w:numPr>
      <w:spacing w:line="300" w:lineRule="exact"/>
      <w:ind w:left="1276" w:hanging="425" w:firstLineChars="0"/>
    </w:pPr>
    <w:rPr>
      <w:rFonts w:ascii="Times New Roman"/>
    </w:rPr>
  </w:style>
  <w:style w:type="paragraph" w:customStyle="1" w:styleId="189">
    <w:name w:val="标准文件_一级项2"/>
    <w:basedOn w:val="56"/>
    <w:qFormat/>
    <w:uiPriority w:val="0"/>
    <w:pPr>
      <w:numPr>
        <w:ilvl w:val="0"/>
        <w:numId w:val="31"/>
      </w:numPr>
      <w:spacing w:line="300" w:lineRule="exact"/>
      <w:ind w:left="1271" w:hanging="420"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next w:val="56"/>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章标题"/>
    <w:next w:val="1"/>
    <w:qFormat/>
    <w:uiPriority w:val="0"/>
    <w:pPr>
      <w:spacing w:before="312" w:beforeLines="100" w:after="312" w:afterLines="100"/>
      <w:jc w:val="both"/>
      <w:outlineLvl w:val="1"/>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tiff"/><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21382BEB6334716A3C4C81BC1FFB301"/>
        <w:style w:val=""/>
        <w:category>
          <w:name w:val="常规"/>
          <w:gallery w:val="placeholder"/>
        </w:category>
        <w:types>
          <w:type w:val="bbPlcHdr"/>
        </w:types>
        <w:behaviors>
          <w:behavior w:val="content"/>
        </w:behaviors>
        <w:description w:val=""/>
        <w:guid w:val="{8A268A8B-AADC-4170-A6F6-AD4F2FD9B215}"/>
      </w:docPartPr>
      <w:docPartBody>
        <w:p w14:paraId="5167A4EB">
          <w:pPr>
            <w:pStyle w:val="5"/>
          </w:pPr>
          <w:r>
            <w:rPr>
              <w:rStyle w:val="4"/>
              <w:rFonts w:hint="eastAsia"/>
            </w:rPr>
            <w:t>单击或点击此处输入文字。</w:t>
          </w:r>
        </w:p>
      </w:docPartBody>
    </w:docPart>
    <w:docPart>
      <w:docPartPr>
        <w:name w:val="2210F4A9D9514149AC47FA0AB2C24B49"/>
        <w:style w:val=""/>
        <w:category>
          <w:name w:val="常规"/>
          <w:gallery w:val="placeholder"/>
        </w:category>
        <w:types>
          <w:type w:val="bbPlcHdr"/>
        </w:types>
        <w:behaviors>
          <w:behavior w:val="content"/>
        </w:behaviors>
        <w:description w:val=""/>
        <w:guid w:val="{D2027BD7-8BA1-446D-B135-4E99C2180F1B}"/>
      </w:docPartPr>
      <w:docPartBody>
        <w:p w14:paraId="16BEBE5D">
          <w:pPr>
            <w:pStyle w:val="6"/>
          </w:pPr>
          <w:r>
            <w:rPr>
              <w:rStyle w:val="4"/>
              <w:rFonts w:hint="eastAsia"/>
            </w:rPr>
            <w:t>选择一项。</w:t>
          </w:r>
        </w:p>
      </w:docPartBody>
    </w:docPart>
    <w:docPart>
      <w:docPartPr>
        <w:name w:val="B6C04ECD658C4D36A0E55EFDD044BECF"/>
        <w:style w:val=""/>
        <w:category>
          <w:name w:val="常规"/>
          <w:gallery w:val="placeholder"/>
        </w:category>
        <w:types>
          <w:type w:val="bbPlcHdr"/>
        </w:types>
        <w:behaviors>
          <w:behavior w:val="content"/>
        </w:behaviors>
        <w:description w:val=""/>
        <w:guid w:val="{2E546DE0-DB33-424F-B8E4-D5B81816561E}"/>
      </w:docPartPr>
      <w:docPartBody>
        <w:p w14:paraId="50FB3A6C">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EU-B1"/>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仿宋_GB2312"/>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EU-B1">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C059">
    <w:panose1 w:val="00000500000000000000"/>
    <w:charset w:val="00"/>
    <w:family w:val="auto"/>
    <w:pitch w:val="default"/>
    <w:sig w:usb0="00000287" w:usb1="00000800" w:usb2="00000000" w:usb3="00000000" w:csb0="6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AE9"/>
    <w:rsid w:val="001969B6"/>
    <w:rsid w:val="002964A9"/>
    <w:rsid w:val="003E5AE9"/>
    <w:rsid w:val="00805E37"/>
    <w:rsid w:val="009456E0"/>
    <w:rsid w:val="00A47174"/>
    <w:rsid w:val="00C85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021382BEB6334716A3C4C81BC1FFB3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210F4A9D9514149AC47FA0AB2C24B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B6C04ECD658C4D36A0E55EFDD044BECF"/>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80DBE5-CB52-4365-902E-DEB2C7C4B7CE}">
  <ds:schemaRefs/>
</ds:datastoreItem>
</file>

<file path=docProps/app.xml><?xml version="1.0" encoding="utf-8"?>
<Properties xmlns="http://schemas.openxmlformats.org/officeDocument/2006/extended-properties" xmlns:vt="http://schemas.openxmlformats.org/officeDocument/2006/docPropsVTypes">
  <Template>地方标准</Template>
  <Company>PCMI</Company>
  <Pages>24</Pages>
  <Words>2745</Words>
  <Characters>15651</Characters>
  <Lines>130</Lines>
  <Paragraphs>36</Paragraphs>
  <TotalTime>49</TotalTime>
  <ScaleCrop>false</ScaleCrop>
  <LinksUpToDate>false</LinksUpToDate>
  <CharactersWithSpaces>18360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2021-03-29T11:30:00Z</dcterms:created>
  <dc:creator>李琰</dc:creator>
  <dc:description>&lt;config cover="true" show_menu="true" version="1.0.0" doctype="SDKXY"&gt;_x000d_
&lt;/config&gt;</dc:description>
  <cp:lastModifiedBy>聂广鹏</cp:lastModifiedBy>
  <cp:lastPrinted>2020-08-30T18:00:00Z</cp:lastPrinted>
  <dcterms:modified xsi:type="dcterms:W3CDTF">2026-05-13T14:27:56Z</dcterms:modified>
  <dc:title>地方标准</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2052-12.1.2.24722</vt:lpwstr>
  </property>
  <property fmtid="{D5CDD505-2E9C-101B-9397-08002B2CF9AE}" pid="15" name="ICV">
    <vt:lpwstr>299A90CC8F9C2361EC19046A3B22169A_43</vt:lpwstr>
  </property>
</Properties>
</file>