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bdr w:val="none" w:color="auto" w:sz="0" w:space="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bdr w:val="none" w:color="auto" w:sz="0" w:space="0"/>
          <w:lang w:val="en-US" w:eastAsia="zh-CN" w:bidi="ar"/>
        </w:rPr>
        <w:t>山东省退役军人事务厅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ascii="微软雅黑" w:hAnsi="微软雅黑" w:eastAsia="微软雅黑" w:cs="微软雅黑"/>
          <w:b w:val="0"/>
          <w:bCs/>
          <w:i w:val="0"/>
          <w:caps w:val="0"/>
          <w:color w:val="auto"/>
          <w:spacing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bdr w:val="none" w:color="auto" w:sz="0" w:space="0"/>
          <w:lang w:val="en-US" w:eastAsia="zh-CN" w:bidi="ar"/>
        </w:rPr>
        <w:t>2019年政府信息公开工作年度报告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2019年，在省委、省政府的领导下，在省政府政务公开办的指导下，作为机构改革后新组建的部门，省退役军人事务厅在政务公开方面，坚持健全制度与工作实践相结合，持续深化“放管服”改革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，深入推进“互联网+政务”服务，不断完善公开制度，强化公开监督，政务公开工作有序运行。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一、总体情况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（一）主动公开情况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山东省退役军人事务厅门户网站和“山东省退役军人事务厅”微信公众号是本机关主动公开政府信息的主平台。2019年，厅门户网站共发布信息1453条，微信公众号发布信息46篇。全年召开的11次厅长办公会的主要议题全部通过门户网站向社会公开。制定的3件公开属性为主动公开的规范性文件全部通过网站、新媒体等平台同步发布了政策解读。2019年7月31日上午，在山东省政府新闻办举行的新闻发布会上，厅党组成员、副厅长廖发银带领相关责任处室负责人对《关于设立专项基金开展退役军人创业扶持和困难帮扶的实施意见（试行）》进行政策解读。发布人事任免信息5条，公务员考录信息2条，事业单位招考信息4条。承办2件人大代表建议和4件政协提案的复文全部公开。在省统一平台上办理网民留言咨询347条，政务服务办事咨询系统处理办件446件，办理省政府“12345”热线464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（二）依申请公开情况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2019年，共受理信息公开申请30件，其中予以公开3件，属于国家秘密不予公开2件，不属于本机关职责权限范围或政府信息不存在的14件，补正后申请内容仍不明确无法提供的4件，重复申请不予处理2件，属于四类过程性信息不予公开1件，结转下年度继续办理4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（三）政府信息管理情况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2019年，按照省政府办公厅的统一部署，根据决策、执行、管理、服务和结果“五公开”的要求，重新编制并在门户网站发布了主动公开基本目录，基本目录包括机构职能、法规文件、政府会议、规划计划、统计数据、财政预决算、行政权力、重点领域、建议提案、人事信息和业务动态等11个一级类目、26个二级类目，为公众获取信息提供了极大方便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根据厅机关职能，为加大工作宣传力度，在厅门户网站开设齐鲁英烈、军休生活、双拥风采、退役军人模范等板块，共梳理归类迁移和新发布信息2000余条。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（四）平台建设情况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强化政府信息公开平台建设，加强与网站技术支持公司协调对接，积极打造“一网一微”矩阵。明确专人负责平台管理，及时做好政府信息公开审核、发布等工作。2019年11月2日，厅门户网站正式运行，截止12月底，门户网站总访问量超过52万次；“山东省退役军人事务厅”微信公众号订阅数持续上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u w:val="none"/>
          <w:bdr w:val="none" w:color="auto" w:sz="0" w:space="0"/>
        </w:rPr>
        <w:drawing>
          <wp:inline distT="0" distB="0" distL="114300" distR="114300">
            <wp:extent cx="4762500" cy="3352800"/>
            <wp:effectExtent l="0" t="0" r="0" b="0"/>
            <wp:docPr id="2" name="图片 2" descr="IMG_257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（五）监督保障情况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建立健全政务服务工作各项制度，确保政务服务工作规范化操作、流程化运行、高效化办理。加强新条例的学习，组织各处室相关人员进行测试，不断提升政务服务公开水平。指导全省退役军人事务系统做好政务公开和信息公开，确保政务公开工作规范化、高效化。同时，在对各处室、单位的年度考核中，单独设置“政务公开”考核指标，分值占比4%，发挥考核的督促监督作用，促进各处室积极做好政务公开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right="0" w:firstLine="640" w:firstLineChars="200"/>
        <w:jc w:val="both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二、主动公开政府信息情况</w:t>
      </w:r>
    </w:p>
    <w:tbl>
      <w:tblPr>
        <w:tblW w:w="8715" w:type="dxa"/>
        <w:tblCellSpacing w:w="0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15"/>
        <w:gridCol w:w="2100"/>
        <w:gridCol w:w="1500"/>
        <w:gridCol w:w="20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87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本年新制作数量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本年新公开数量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规章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3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规范性文件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7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0" w:type="dxa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上一年项目数量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本年增/减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行政许可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其他对外管理服务事项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tblCellSpacing w:w="0" w:type="dxa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上一年项目数量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本年增/减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行政处罚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无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行政强制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无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0" w:type="dxa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上一年项目数量</w:t>
            </w:r>
          </w:p>
        </w:tc>
        <w:tc>
          <w:tcPr>
            <w:tcW w:w="35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行政事业性收费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无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0" w:type="dxa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309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采购项目数量</w:t>
            </w:r>
          </w:p>
        </w:tc>
        <w:tc>
          <w:tcPr>
            <w:tcW w:w="35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tblCellSpacing w:w="0" w:type="dxa"/>
        </w:trPr>
        <w:tc>
          <w:tcPr>
            <w:tcW w:w="309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政府集中采购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68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7363万元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三、收到和处理政府信息公开申请情况</w:t>
      </w:r>
    </w:p>
    <w:tbl>
      <w:tblPr>
        <w:tblW w:w="8739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2000"/>
        <w:gridCol w:w="1714"/>
        <w:gridCol w:w="505"/>
        <w:gridCol w:w="568"/>
        <w:gridCol w:w="568"/>
        <w:gridCol w:w="505"/>
        <w:gridCol w:w="505"/>
        <w:gridCol w:w="568"/>
        <w:gridCol w:w="56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rHeight w:val="507" w:hRule="atLeast"/>
          <w:tblCellSpacing w:w="0" w:type="dxa"/>
        </w:trPr>
        <w:tc>
          <w:tcPr>
            <w:tcW w:w="0" w:type="auto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78" w:hRule="atLeast"/>
          <w:tblCellSpacing w:w="0" w:type="dxa"/>
        </w:trPr>
        <w:tc>
          <w:tcPr>
            <w:tcW w:w="0" w:type="auto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自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人</w:t>
            </w:r>
          </w:p>
        </w:tc>
        <w:tc>
          <w:tcPr>
            <w:tcW w:w="0" w:type="auto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法人或其他组织</w:t>
            </w:r>
          </w:p>
        </w:tc>
        <w:tc>
          <w:tcPr>
            <w:tcW w:w="0" w:type="auto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2716" w:hRule="atLeast"/>
          <w:tblCellSpacing w:w="0" w:type="dxa"/>
        </w:trPr>
        <w:tc>
          <w:tcPr>
            <w:tcW w:w="0" w:type="auto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商业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企业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科研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机构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公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益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组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织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法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律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服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务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构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63" w:hRule="atLeast"/>
          <w:tblCellSpacing w:w="0" w:type="dxa"/>
        </w:trPr>
        <w:tc>
          <w:tcPr>
            <w:tcW w:w="0" w:type="auto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30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63" w:hRule="atLeast"/>
          <w:tblCellSpacing w:w="0" w:type="dxa"/>
        </w:trPr>
        <w:tc>
          <w:tcPr>
            <w:tcW w:w="0" w:type="auto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78" w:hRule="atLeast"/>
          <w:tblCellSpacing w:w="0" w:type="dxa"/>
        </w:trPr>
        <w:tc>
          <w:tcPr>
            <w:tcW w:w="0" w:type="auto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三、本年度办理结果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（一）予以公开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78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（三）不予公开     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1.属于国家秘密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2.其他法律行政法规禁止公开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3.危及“三安全一稳定”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4.保护第三方合法权益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5.属于三类内部事务信息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63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6.属于四类过程性信息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7.属于行政执法案卷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8.属于行政查询事项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（四）无法提供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1.本机关不掌握相关政府信息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11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2.没有现成信息需要另行制作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3.补正后申请内容仍不明确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（五）不予处理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1.信访举报投诉类申请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63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2.重复申请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3.要求提供公开出版物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11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4.无正当理由大量反复申请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1358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77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（六）其他处理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63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（七）总计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26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78" w:hRule="atLeast"/>
          <w:tblCellSpacing w:w="0" w:type="dxa"/>
        </w:trPr>
        <w:tc>
          <w:tcPr>
            <w:tcW w:w="0" w:type="auto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四、结转下年度继续办理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  <w:bdr w:val="none" w:color="auto" w:sz="0" w:space="0"/>
              </w:rPr>
              <w:t>4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20"/>
        <w:jc w:val="both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四、政府信息公开行政复议、行政诉讼情况</w:t>
      </w:r>
    </w:p>
    <w:tbl>
      <w:tblPr>
        <w:tblW w:w="8265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549"/>
        <w:gridCol w:w="549"/>
        <w:gridCol w:w="549"/>
        <w:gridCol w:w="569"/>
        <w:gridCol w:w="545"/>
        <w:gridCol w:w="549"/>
        <w:gridCol w:w="549"/>
        <w:gridCol w:w="549"/>
        <w:gridCol w:w="549"/>
        <w:gridCol w:w="549"/>
        <w:gridCol w:w="549"/>
        <w:gridCol w:w="550"/>
        <w:gridCol w:w="550"/>
        <w:gridCol w:w="55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</w:trPr>
        <w:tc>
          <w:tcPr>
            <w:tcW w:w="280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行政复议</w:t>
            </w:r>
          </w:p>
        </w:tc>
        <w:tc>
          <w:tcPr>
            <w:tcW w:w="546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</w:trPr>
        <w:tc>
          <w:tcPr>
            <w:tcW w:w="55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结果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维持</w:t>
            </w:r>
          </w:p>
        </w:tc>
        <w:tc>
          <w:tcPr>
            <w:tcW w:w="5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结果纠正</w:t>
            </w:r>
          </w:p>
        </w:tc>
        <w:tc>
          <w:tcPr>
            <w:tcW w:w="55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其他结果</w:t>
            </w:r>
          </w:p>
        </w:tc>
        <w:tc>
          <w:tcPr>
            <w:tcW w:w="55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尚未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审结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总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计</w:t>
            </w:r>
          </w:p>
        </w:tc>
        <w:tc>
          <w:tcPr>
            <w:tcW w:w="270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未经复议直接起诉</w:t>
            </w:r>
          </w:p>
        </w:tc>
        <w:tc>
          <w:tcPr>
            <w:tcW w:w="276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tblCellSpacing w:w="0" w:type="dxa"/>
        </w:trPr>
        <w:tc>
          <w:tcPr>
            <w:tcW w:w="5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5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5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结果维持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结果纠正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其他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结果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尚未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审结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总计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结果维持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结果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纠正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其他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结果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尚未审结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CellSpacing w:w="0" w:type="dxa"/>
        </w:trPr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3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5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bdr w:val="none" w:color="auto" w:sz="0" w:space="0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20"/>
        <w:jc w:val="both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五、存在的主要问题及改进情况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作为机构改革新组建的部门，门户网站上线运行时间短，在实际中还存在一些不足之处，信息公开数量、及时性等方面还有待进一步加强；政务公开的形式单一，宣传力度有待加强。下一步，将重点抓好以下几个方面的工作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一是不断完善政府信息公开内容。结合退役军人政策的特点，按照“公开不涉密、涉密不公开”的原则，进一步梳理政务信息，扩大政务信息公开内容，做到能公开的全部公开，保证公开信息的完整性、准确性。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二是持续深化“互联网+政务”。广泛征求服务对象的意见和建议，对门户网站等服务功能进行更新完善，创新信息公开方式。充分利用互联网，广泛宣传网上公开渠道和反映途径，提升网上服务的质量和效率，让群众少跑腿、数据多跑路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三是加强信息公开培训。在全省系统内适时组织开展政务公开培训，加强信息公开新条例全方面的解读，提高政务公开的能力和水平。充分发挥考核指挥棒的作用，调动各个处室（单位）信息公开的主动性，提高主动公开的时效性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六、其他需要报告的事项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bdr w:val="none" w:color="auto" w:sz="0" w:space="0"/>
        </w:rPr>
        <w:t>无。</w:t>
      </w:r>
    </w:p>
    <w:p>
      <w:pPr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BYAAABkcnMvUEsBAhQAFAAA&#10;AAgAh07iQLNJWO7QAAAABQEAAA8AAAAAAAAAAQAgAAAAOAAAAGRycy9kb3ducmV2LnhtbFBLAQIU&#10;ABQAAAAIAIdO4kAHFBrmyQIAAOwFAAAOAAAAAAAAAAEAIAAAADUBAABkcnMvZTJvRG9jLnhtbFBL&#10;BQYAAAAABgAGAFkBAABw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DD8D58"/>
    <w:rsid w:val="FCDD8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dva.shandong.gov.cn/picture/0/d352968ab03d4c3bb2b18842dabb666f.jpg" TargetMode="Externa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2022-08-30T14:43:00Z</dcterms:created>
  <dc:creator>user</dc:creator>
  <cp:lastModifiedBy>user</cp:lastModifiedBy>
  <dcterms:modified xsi:type="dcterms:W3CDTF">2022-08-30T14:51:06Z</dcterms:modified>
  <dc:title>山东省退役军人事务厅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